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30"/>
          <w:szCs w:val="30"/>
          <w:highlight w:val="none"/>
        </w:rPr>
      </w:pPr>
    </w:p>
    <w:p>
      <w:pPr>
        <w:spacing w:line="360" w:lineRule="auto"/>
        <w:jc w:val="center"/>
        <w:rPr>
          <w:rFonts w:hint="eastAsia"/>
          <w:b/>
          <w:bCs/>
          <w:sz w:val="30"/>
          <w:szCs w:val="30"/>
          <w:highlight w:val="none"/>
        </w:rPr>
      </w:pPr>
      <w:r>
        <w:rPr>
          <w:rFonts w:hint="eastAsia"/>
          <w:sz w:val="30"/>
          <w:szCs w:val="30"/>
          <w:highlight w:val="none"/>
        </w:rPr>
        <w:t xml:space="preserve">                      </w:t>
      </w:r>
      <w:r>
        <w:rPr>
          <w:rFonts w:hint="eastAsia"/>
          <w:b/>
          <w:bCs/>
          <w:sz w:val="30"/>
          <w:szCs w:val="30"/>
          <w:highlight w:val="none"/>
        </w:rPr>
        <w:t xml:space="preserve"> 项目编号：SWUEECG202200571</w:t>
      </w:r>
    </w:p>
    <w:p>
      <w:pPr>
        <w:spacing w:line="360" w:lineRule="auto"/>
        <w:jc w:val="center"/>
        <w:rPr>
          <w:b/>
          <w:bCs/>
          <w:sz w:val="44"/>
          <w:szCs w:val="44"/>
          <w:highlight w:val="none"/>
        </w:rPr>
      </w:pPr>
      <w:r>
        <w:rPr>
          <w:rFonts w:hint="eastAsia"/>
          <w:b/>
          <w:bCs/>
          <w:sz w:val="44"/>
          <w:szCs w:val="44"/>
          <w:highlight w:val="none"/>
        </w:rPr>
        <w:t>星悦城二次供水成套设备供应和安装工程项目</w:t>
      </w:r>
    </w:p>
    <w:p>
      <w:pPr>
        <w:spacing w:line="360" w:lineRule="auto"/>
        <w:jc w:val="center"/>
        <w:rPr>
          <w:rFonts w:cs="黑体"/>
          <w:sz w:val="52"/>
          <w:szCs w:val="52"/>
          <w:highlight w:val="none"/>
        </w:rPr>
      </w:pPr>
    </w:p>
    <w:p>
      <w:pPr>
        <w:spacing w:line="360" w:lineRule="auto"/>
        <w:jc w:val="center"/>
        <w:rPr>
          <w:rFonts w:cs="黑体"/>
          <w:sz w:val="52"/>
          <w:szCs w:val="52"/>
          <w:highlight w:val="none"/>
        </w:rPr>
      </w:pPr>
    </w:p>
    <w:p>
      <w:pPr>
        <w:spacing w:line="360" w:lineRule="auto"/>
        <w:jc w:val="center"/>
        <w:rPr>
          <w:rFonts w:cs="黑体"/>
          <w:sz w:val="52"/>
          <w:szCs w:val="52"/>
          <w:highlight w:val="none"/>
        </w:rPr>
      </w:pPr>
    </w:p>
    <w:p>
      <w:pPr>
        <w:spacing w:line="360" w:lineRule="auto"/>
        <w:jc w:val="center"/>
        <w:rPr>
          <w:rFonts w:cs="黑体"/>
          <w:sz w:val="52"/>
          <w:szCs w:val="52"/>
          <w:highlight w:val="none"/>
        </w:rPr>
      </w:pPr>
    </w:p>
    <w:p>
      <w:pPr>
        <w:spacing w:line="360" w:lineRule="auto"/>
        <w:jc w:val="center"/>
        <w:rPr>
          <w:rFonts w:cs="黑体"/>
          <w:sz w:val="52"/>
          <w:szCs w:val="52"/>
          <w:highlight w:val="none"/>
        </w:rPr>
      </w:pPr>
      <w:r>
        <w:rPr>
          <w:rFonts w:hint="eastAsia"/>
          <w:b/>
          <w:bCs/>
          <w:sz w:val="84"/>
          <w:szCs w:val="84"/>
          <w:highlight w:val="none"/>
        </w:rPr>
        <w:t>竞争性谈判文件</w:t>
      </w:r>
    </w:p>
    <w:p>
      <w:pPr>
        <w:spacing w:line="360" w:lineRule="auto"/>
        <w:jc w:val="both"/>
        <w:rPr>
          <w:sz w:val="32"/>
          <w:szCs w:val="32"/>
          <w:highlight w:val="none"/>
        </w:rPr>
      </w:pPr>
    </w:p>
    <w:p>
      <w:pPr>
        <w:spacing w:line="360" w:lineRule="auto"/>
        <w:jc w:val="center"/>
        <w:rPr>
          <w:sz w:val="32"/>
          <w:szCs w:val="32"/>
          <w:highlight w:val="none"/>
        </w:rPr>
      </w:pPr>
    </w:p>
    <w:p>
      <w:pPr>
        <w:spacing w:line="360" w:lineRule="auto"/>
        <w:jc w:val="center"/>
        <w:rPr>
          <w:sz w:val="32"/>
          <w:szCs w:val="32"/>
          <w:highlight w:val="none"/>
        </w:rPr>
      </w:pPr>
    </w:p>
    <w:p>
      <w:pPr>
        <w:spacing w:line="360" w:lineRule="auto"/>
        <w:jc w:val="center"/>
        <w:rPr>
          <w:sz w:val="32"/>
          <w:szCs w:val="32"/>
          <w:highlight w:val="none"/>
        </w:rPr>
      </w:pPr>
    </w:p>
    <w:p>
      <w:pPr>
        <w:spacing w:line="360" w:lineRule="auto"/>
        <w:jc w:val="center"/>
        <w:rPr>
          <w:b/>
          <w:bCs/>
          <w:sz w:val="32"/>
          <w:szCs w:val="32"/>
          <w:highlight w:val="none"/>
        </w:rPr>
      </w:pPr>
      <w:r>
        <w:rPr>
          <w:rFonts w:hint="eastAsia"/>
          <w:b/>
          <w:bCs/>
          <w:sz w:val="32"/>
          <w:szCs w:val="32"/>
          <w:highlight w:val="none"/>
        </w:rPr>
        <w:t>中国·四川</w:t>
      </w:r>
      <w:bookmarkStart w:id="0" w:name="PO_采购人_1"/>
    </w:p>
    <w:bookmarkEnd w:id="0"/>
    <w:p>
      <w:pPr>
        <w:pStyle w:val="2"/>
        <w:spacing w:line="360" w:lineRule="auto"/>
        <w:jc w:val="center"/>
        <w:rPr>
          <w:rFonts w:hint="default" w:hAnsi="宋体"/>
          <w:b/>
          <w:sz w:val="32"/>
          <w:szCs w:val="32"/>
          <w:highlight w:val="none"/>
        </w:rPr>
      </w:pPr>
      <w:r>
        <w:rPr>
          <w:rFonts w:hAnsi="宋体"/>
          <w:b/>
          <w:sz w:val="32"/>
          <w:szCs w:val="32"/>
          <w:highlight w:val="none"/>
        </w:rPr>
        <w:t>什邡国润供水有限公司</w:t>
      </w:r>
    </w:p>
    <w:p>
      <w:pPr>
        <w:spacing w:line="360" w:lineRule="auto"/>
        <w:jc w:val="center"/>
        <w:rPr>
          <w:b/>
          <w:bCs/>
          <w:color w:val="000000"/>
          <w:sz w:val="32"/>
          <w:szCs w:val="32"/>
          <w:highlight w:val="none"/>
        </w:rPr>
      </w:pPr>
      <w:r>
        <w:rPr>
          <w:rFonts w:hint="eastAsia"/>
          <w:b/>
          <w:bCs/>
          <w:color w:val="000000"/>
          <w:sz w:val="32"/>
          <w:szCs w:val="32"/>
          <w:highlight w:val="none"/>
        </w:rPr>
        <w:t>西南联合产权交易所有限责任公司</w:t>
      </w:r>
    </w:p>
    <w:p>
      <w:pPr>
        <w:spacing w:line="360" w:lineRule="auto"/>
        <w:jc w:val="center"/>
        <w:rPr>
          <w:b/>
          <w:bCs/>
          <w:sz w:val="32"/>
          <w:szCs w:val="32"/>
          <w:highlight w:val="none"/>
        </w:rPr>
      </w:pPr>
      <w:r>
        <w:rPr>
          <w:rFonts w:hint="eastAsia"/>
          <w:b/>
          <w:bCs/>
          <w:sz w:val="32"/>
          <w:szCs w:val="32"/>
          <w:highlight w:val="none"/>
        </w:rPr>
        <w:t>共同编制</w:t>
      </w:r>
    </w:p>
    <w:p>
      <w:pPr>
        <w:spacing w:line="360" w:lineRule="auto"/>
        <w:jc w:val="center"/>
        <w:rPr>
          <w:b/>
          <w:bCs/>
          <w:sz w:val="36"/>
          <w:szCs w:val="36"/>
          <w:highlight w:val="none"/>
        </w:rPr>
      </w:pPr>
      <w:bookmarkStart w:id="1" w:name="PO_年份小写_1"/>
      <w:r>
        <w:rPr>
          <w:rFonts w:hint="eastAsia"/>
          <w:b/>
          <w:bCs/>
          <w:sz w:val="32"/>
          <w:szCs w:val="32"/>
          <w:highlight w:val="none"/>
        </w:rPr>
        <w:t>2022</w:t>
      </w:r>
      <w:r>
        <w:rPr>
          <w:rFonts w:hint="eastAsia"/>
          <w:b/>
          <w:bCs/>
          <w:sz w:val="32"/>
          <w:szCs w:val="32"/>
          <w:highlight w:val="none"/>
          <w:lang w:val="zh-CN"/>
        </w:rPr>
        <w:t>年</w:t>
      </w:r>
      <w:bookmarkEnd w:id="1"/>
      <w:bookmarkStart w:id="2" w:name="PO_月份小写_1"/>
      <w:r>
        <w:rPr>
          <w:rFonts w:hint="eastAsia"/>
          <w:b/>
          <w:bCs/>
          <w:sz w:val="32"/>
          <w:szCs w:val="32"/>
          <w:highlight w:val="none"/>
          <w:lang w:val="en-US" w:eastAsia="zh-CN"/>
        </w:rPr>
        <w:t>5</w:t>
      </w:r>
      <w:r>
        <w:rPr>
          <w:rFonts w:hint="eastAsia"/>
          <w:b/>
          <w:bCs/>
          <w:sz w:val="32"/>
          <w:szCs w:val="32"/>
          <w:highlight w:val="none"/>
          <w:lang w:val="zh-CN"/>
        </w:rPr>
        <w:t>月</w:t>
      </w:r>
      <w:bookmarkEnd w:id="2"/>
    </w:p>
    <w:p>
      <w:pPr>
        <w:spacing w:line="360" w:lineRule="auto"/>
        <w:jc w:val="center"/>
        <w:rPr>
          <w:rFonts w:cs="Times New Roman"/>
          <w:b/>
          <w:bCs/>
          <w:highlight w:val="none"/>
        </w:rPr>
      </w:pPr>
      <w:r>
        <w:rPr>
          <w:rFonts w:hint="eastAsia" w:cs="仿宋"/>
          <w:sz w:val="36"/>
          <w:szCs w:val="36"/>
          <w:highlight w:val="none"/>
        </w:rPr>
        <w:br w:type="page"/>
      </w:r>
      <w:r>
        <w:rPr>
          <w:rFonts w:hint="eastAsia" w:cs="仿宋"/>
          <w:b/>
          <w:bCs/>
          <w:sz w:val="36"/>
          <w:szCs w:val="36"/>
          <w:highlight w:val="none"/>
        </w:rPr>
        <w:t>目录</w:t>
      </w:r>
    </w:p>
    <w:p>
      <w:pPr>
        <w:pStyle w:val="30"/>
        <w:tabs>
          <w:tab w:val="right" w:leader="dot" w:pos="9997"/>
        </w:tabs>
        <w:rPr>
          <w:rFonts w:asciiTheme="minorHAnsi" w:hAnsiTheme="minorHAnsi" w:eastAsiaTheme="minorEastAsia" w:cstheme="minorBidi"/>
          <w:sz w:val="21"/>
          <w:szCs w:val="22"/>
          <w:highlight w:val="none"/>
        </w:rPr>
      </w:pPr>
      <w:r>
        <w:rPr>
          <w:rStyle w:val="49"/>
          <w:rFonts w:hint="eastAsia"/>
          <w:highlight w:val="none"/>
        </w:rPr>
        <w:fldChar w:fldCharType="begin"/>
      </w:r>
      <w:r>
        <w:rPr>
          <w:rStyle w:val="49"/>
          <w:rFonts w:hint="eastAsia" w:ascii="宋体" w:hAnsi="宋体"/>
          <w:caps/>
          <w:highlight w:val="none"/>
        </w:rPr>
        <w:instrText xml:space="preserve">TOC \h \z \t "</w:instrText>
      </w:r>
      <w:r>
        <w:rPr>
          <w:rStyle w:val="49"/>
          <w:rFonts w:hint="eastAsia" w:ascii="宋体" w:hAnsi="宋体" w:cs="宋体"/>
          <w:caps/>
          <w:highlight w:val="none"/>
        </w:rPr>
        <w:instrText xml:space="preserve">标题</w:instrText>
      </w:r>
      <w:r>
        <w:rPr>
          <w:rStyle w:val="49"/>
          <w:rFonts w:hint="eastAsia" w:ascii="宋体" w:hAnsi="宋体"/>
          <w:caps/>
          <w:highlight w:val="none"/>
        </w:rPr>
        <w:instrText xml:space="preserve">,1"</w:instrText>
      </w:r>
      <w:r>
        <w:rPr>
          <w:rStyle w:val="49"/>
          <w:rFonts w:hint="eastAsia"/>
          <w:highlight w:val="none"/>
        </w:rPr>
        <w:fldChar w:fldCharType="separate"/>
      </w:r>
      <w:r>
        <w:rPr>
          <w:highlight w:val="none"/>
        </w:rPr>
        <w:fldChar w:fldCharType="begin"/>
      </w:r>
      <w:r>
        <w:rPr>
          <w:highlight w:val="none"/>
        </w:rPr>
        <w:instrText xml:space="preserve"> HYPERLINK \l "_Toc98423925" </w:instrText>
      </w:r>
      <w:r>
        <w:rPr>
          <w:highlight w:val="none"/>
        </w:rPr>
        <w:fldChar w:fldCharType="separate"/>
      </w:r>
      <w:r>
        <w:rPr>
          <w:rStyle w:val="49"/>
          <w:rFonts w:ascii="宋体" w:hAnsi="宋体" w:cs="仿宋"/>
          <w:highlight w:val="none"/>
        </w:rPr>
        <w:t>第一章 谈判邀请</w:t>
      </w:r>
      <w:r>
        <w:rPr>
          <w:highlight w:val="none"/>
        </w:rPr>
        <w:tab/>
      </w:r>
      <w:r>
        <w:rPr>
          <w:highlight w:val="none"/>
        </w:rPr>
        <w:fldChar w:fldCharType="begin"/>
      </w:r>
      <w:r>
        <w:rPr>
          <w:highlight w:val="none"/>
        </w:rPr>
        <w:instrText xml:space="preserve"> PAGEREF _Toc98423925 \h </w:instrText>
      </w:r>
      <w:r>
        <w:rPr>
          <w:highlight w:val="none"/>
        </w:rPr>
        <w:fldChar w:fldCharType="separate"/>
      </w:r>
      <w:r>
        <w:rPr>
          <w:highlight w:val="none"/>
        </w:rPr>
        <w:t>- 3 -</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"_Toc98423926" </w:instrText>
      </w:r>
      <w:r>
        <w:rPr>
          <w:highlight w:val="none"/>
        </w:rPr>
        <w:fldChar w:fldCharType="separate"/>
      </w:r>
      <w:r>
        <w:rPr>
          <w:rStyle w:val="49"/>
          <w:rFonts w:ascii="宋体" w:hAnsi="宋体" w:cs="仿宋"/>
          <w:highlight w:val="none"/>
        </w:rPr>
        <w:t>第二章 谈判须知</w:t>
      </w:r>
      <w:r>
        <w:rPr>
          <w:highlight w:val="none"/>
        </w:rPr>
        <w:tab/>
      </w:r>
      <w:r>
        <w:rPr>
          <w:highlight w:val="none"/>
        </w:rPr>
        <w:fldChar w:fldCharType="begin"/>
      </w:r>
      <w:r>
        <w:rPr>
          <w:highlight w:val="none"/>
        </w:rPr>
        <w:instrText xml:space="preserve"> PAGEREF _Toc98423926 \h </w:instrText>
      </w:r>
      <w:r>
        <w:rPr>
          <w:highlight w:val="none"/>
        </w:rPr>
        <w:fldChar w:fldCharType="separate"/>
      </w:r>
      <w:r>
        <w:rPr>
          <w:highlight w:val="none"/>
        </w:rPr>
        <w:t>- 6 -</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"_Toc98423927" </w:instrText>
      </w:r>
      <w:r>
        <w:rPr>
          <w:highlight w:val="none"/>
        </w:rPr>
        <w:fldChar w:fldCharType="separate"/>
      </w:r>
      <w:r>
        <w:rPr>
          <w:rStyle w:val="49"/>
          <w:rFonts w:ascii="宋体" w:hAnsi="宋体" w:cs="仿宋"/>
          <w:highlight w:val="none"/>
        </w:rPr>
        <w:t>第三章 响应文件格式</w:t>
      </w:r>
      <w:r>
        <w:rPr>
          <w:highlight w:val="none"/>
        </w:rPr>
        <w:tab/>
      </w:r>
      <w:r>
        <w:rPr>
          <w:highlight w:val="none"/>
        </w:rPr>
        <w:fldChar w:fldCharType="begin"/>
      </w:r>
      <w:r>
        <w:rPr>
          <w:highlight w:val="none"/>
        </w:rPr>
        <w:instrText xml:space="preserve"> PAGEREF _Toc98423927 \h </w:instrText>
      </w:r>
      <w:r>
        <w:rPr>
          <w:highlight w:val="none"/>
        </w:rPr>
        <w:fldChar w:fldCharType="separate"/>
      </w:r>
      <w:r>
        <w:rPr>
          <w:highlight w:val="none"/>
        </w:rPr>
        <w:t>- 21 -</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"_Toc98423928" </w:instrText>
      </w:r>
      <w:r>
        <w:rPr>
          <w:highlight w:val="none"/>
        </w:rPr>
        <w:fldChar w:fldCharType="separate"/>
      </w:r>
      <w:r>
        <w:rPr>
          <w:rStyle w:val="49"/>
          <w:rFonts w:ascii="宋体" w:hAnsi="宋体" w:cs="仿宋"/>
          <w:highlight w:val="none"/>
        </w:rPr>
        <w:t>第四章 资格证明文件</w:t>
      </w:r>
      <w:r>
        <w:rPr>
          <w:highlight w:val="none"/>
        </w:rPr>
        <w:tab/>
      </w:r>
      <w:r>
        <w:rPr>
          <w:highlight w:val="none"/>
        </w:rPr>
        <w:fldChar w:fldCharType="begin"/>
      </w:r>
      <w:r>
        <w:rPr>
          <w:highlight w:val="none"/>
        </w:rPr>
        <w:instrText xml:space="preserve"> PAGEREF _Toc98423928 \h </w:instrText>
      </w:r>
      <w:r>
        <w:rPr>
          <w:highlight w:val="none"/>
        </w:rPr>
        <w:fldChar w:fldCharType="separate"/>
      </w:r>
      <w:r>
        <w:rPr>
          <w:highlight w:val="none"/>
        </w:rPr>
        <w:t>37</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"_Toc98423929" </w:instrText>
      </w:r>
      <w:r>
        <w:rPr>
          <w:highlight w:val="none"/>
        </w:rPr>
        <w:fldChar w:fldCharType="separate"/>
      </w:r>
      <w:r>
        <w:rPr>
          <w:rStyle w:val="49"/>
          <w:rFonts w:ascii="宋体" w:hAnsi="宋体" w:cs="仿宋"/>
          <w:highlight w:val="none"/>
        </w:rPr>
        <w:t>第五章 采购项目技术、服务及其他商务要求</w:t>
      </w:r>
      <w:r>
        <w:rPr>
          <w:highlight w:val="none"/>
        </w:rPr>
        <w:tab/>
      </w:r>
      <w:r>
        <w:rPr>
          <w:highlight w:val="none"/>
        </w:rPr>
        <w:fldChar w:fldCharType="begin"/>
      </w:r>
      <w:r>
        <w:rPr>
          <w:highlight w:val="none"/>
        </w:rPr>
        <w:instrText xml:space="preserve"> PAGEREF _Toc98423929 \h </w:instrText>
      </w:r>
      <w:r>
        <w:rPr>
          <w:highlight w:val="none"/>
        </w:rPr>
        <w:fldChar w:fldCharType="separate"/>
      </w:r>
      <w:r>
        <w:rPr>
          <w:highlight w:val="none"/>
        </w:rPr>
        <w:t>38</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"_Toc98423930" </w:instrText>
      </w:r>
      <w:r>
        <w:rPr>
          <w:highlight w:val="none"/>
        </w:rPr>
        <w:fldChar w:fldCharType="separate"/>
      </w:r>
      <w:r>
        <w:rPr>
          <w:rStyle w:val="49"/>
          <w:rFonts w:ascii="宋体" w:hAnsi="宋体" w:cs="仿宋"/>
          <w:highlight w:val="none"/>
        </w:rPr>
        <w:t>第六章 谈判过程中可实质性变动的内容</w:t>
      </w:r>
      <w:r>
        <w:rPr>
          <w:highlight w:val="none"/>
        </w:rPr>
        <w:tab/>
      </w:r>
      <w:r>
        <w:rPr>
          <w:highlight w:val="none"/>
        </w:rPr>
        <w:fldChar w:fldCharType="begin"/>
      </w:r>
      <w:r>
        <w:rPr>
          <w:highlight w:val="none"/>
        </w:rPr>
        <w:instrText xml:space="preserve"> PAGEREF _Toc98423930 \h </w:instrText>
      </w:r>
      <w:r>
        <w:rPr>
          <w:highlight w:val="none"/>
        </w:rPr>
        <w:fldChar w:fldCharType="separate"/>
      </w:r>
      <w:r>
        <w:rPr>
          <w:highlight w:val="none"/>
        </w:rPr>
        <w:t>48</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"_Toc98423931" </w:instrText>
      </w:r>
      <w:r>
        <w:rPr>
          <w:highlight w:val="none"/>
        </w:rPr>
        <w:fldChar w:fldCharType="separate"/>
      </w:r>
      <w:r>
        <w:rPr>
          <w:rStyle w:val="49"/>
          <w:rFonts w:ascii="宋体" w:hAnsi="宋体" w:cs="仿宋"/>
          <w:highlight w:val="none"/>
        </w:rPr>
        <w:t>第七章 竞争性谈判办法</w:t>
      </w:r>
      <w:r>
        <w:rPr>
          <w:highlight w:val="none"/>
        </w:rPr>
        <w:tab/>
      </w:r>
      <w:r>
        <w:rPr>
          <w:highlight w:val="none"/>
        </w:rPr>
        <w:fldChar w:fldCharType="begin"/>
      </w:r>
      <w:r>
        <w:rPr>
          <w:highlight w:val="none"/>
        </w:rPr>
        <w:instrText xml:space="preserve"> PAGEREF _Toc98423931 \h </w:instrText>
      </w:r>
      <w:r>
        <w:rPr>
          <w:highlight w:val="none"/>
        </w:rPr>
        <w:fldChar w:fldCharType="separate"/>
      </w:r>
      <w:r>
        <w:rPr>
          <w:highlight w:val="none"/>
        </w:rPr>
        <w:t>49</w:t>
      </w:r>
      <w:r>
        <w:rPr>
          <w:highlight w:val="none"/>
        </w:rPr>
        <w:fldChar w:fldCharType="end"/>
      </w:r>
      <w:r>
        <w:rPr>
          <w:highlight w:val="none"/>
        </w:rPr>
        <w:fldChar w:fldCharType="end"/>
      </w:r>
    </w:p>
    <w:p>
      <w:pPr>
        <w:pStyle w:val="30"/>
        <w:tabs>
          <w:tab w:val="right" w:leader="dot" w:pos="9997"/>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"_Toc98423932" </w:instrText>
      </w:r>
      <w:r>
        <w:rPr>
          <w:highlight w:val="none"/>
        </w:rPr>
        <w:fldChar w:fldCharType="separate"/>
      </w:r>
      <w:r>
        <w:rPr>
          <w:rStyle w:val="49"/>
          <w:rFonts w:ascii="宋体" w:hAnsi="宋体" w:cs="仿宋"/>
          <w:highlight w:val="none"/>
        </w:rPr>
        <w:t>第八章 采购合同（草案）</w:t>
      </w:r>
      <w:r>
        <w:rPr>
          <w:highlight w:val="none"/>
        </w:rPr>
        <w:tab/>
      </w:r>
      <w:r>
        <w:rPr>
          <w:highlight w:val="none"/>
        </w:rPr>
        <w:fldChar w:fldCharType="begin"/>
      </w:r>
      <w:r>
        <w:rPr>
          <w:highlight w:val="none"/>
        </w:rPr>
        <w:instrText xml:space="preserve"> PAGEREF _Toc98423932 \h </w:instrText>
      </w:r>
      <w:r>
        <w:rPr>
          <w:highlight w:val="none"/>
        </w:rPr>
        <w:fldChar w:fldCharType="separate"/>
      </w:r>
      <w:r>
        <w:rPr>
          <w:highlight w:val="none"/>
        </w:rPr>
        <w:t>60</w:t>
      </w:r>
      <w:r>
        <w:rPr>
          <w:highlight w:val="none"/>
        </w:rPr>
        <w:fldChar w:fldCharType="end"/>
      </w:r>
      <w:r>
        <w:rPr>
          <w:highlight w:val="none"/>
        </w:rPr>
        <w:fldChar w:fldCharType="end"/>
      </w:r>
    </w:p>
    <w:p>
      <w:pPr>
        <w:pStyle w:val="30"/>
        <w:tabs>
          <w:tab w:val="right" w:leader="dot" w:pos="9345"/>
        </w:tabs>
        <w:spacing w:line="360" w:lineRule="auto"/>
        <w:ind w:right="-120" w:rightChars="-50"/>
        <w:jc w:val="left"/>
        <w:rPr>
          <w:rFonts w:ascii="宋体" w:hAnsi="宋体"/>
          <w:highlight w:val="none"/>
        </w:rPr>
      </w:pPr>
      <w:r>
        <w:rPr>
          <w:rFonts w:hint="eastAsia" w:ascii="宋体" w:hAnsi="宋体"/>
          <w:caps/>
          <w:highlight w:val="none"/>
        </w:rPr>
        <w:fldChar w:fldCharType="end"/>
      </w:r>
    </w:p>
    <w:p>
      <w:pPr>
        <w:spacing w:line="360" w:lineRule="auto"/>
        <w:rPr>
          <w:highlight w:val="none"/>
        </w:rPr>
      </w:pPr>
      <w:r>
        <w:rPr>
          <w:rFonts w:hint="eastAsia"/>
          <w:b/>
          <w:bCs/>
          <w:highlight w:val="none"/>
        </w:rPr>
        <w:br w:type="page"/>
      </w:r>
    </w:p>
    <w:p>
      <w:pPr>
        <w:pStyle w:val="40"/>
        <w:numPr>
          <w:ilvl w:val="0"/>
          <w:numId w:val="1"/>
        </w:numPr>
        <w:spacing w:line="360" w:lineRule="auto"/>
        <w:rPr>
          <w:rFonts w:ascii="宋体" w:hAnsi="宋体"/>
          <w:highlight w:val="none"/>
        </w:rPr>
      </w:pPr>
      <w:bookmarkStart w:id="3" w:name="_Toc16713"/>
      <w:bookmarkStart w:id="4" w:name="_Toc98423925"/>
      <w:bookmarkStart w:id="5" w:name="_Toc277"/>
      <w:bookmarkStart w:id="6" w:name="_Toc509579140"/>
      <w:bookmarkStart w:id="7" w:name="_Toc69478553"/>
      <w:bookmarkStart w:id="8" w:name="_Toc31345"/>
      <w:r>
        <w:rPr>
          <w:rFonts w:hint="eastAsia" w:ascii="宋体" w:hAnsi="宋体" w:cs="仿宋"/>
          <w:highlight w:val="none"/>
        </w:rPr>
        <w:t>谈判邀请</w:t>
      </w:r>
      <w:bookmarkEnd w:id="3"/>
      <w:bookmarkEnd w:id="4"/>
      <w:bookmarkEnd w:id="5"/>
      <w:bookmarkEnd w:id="6"/>
      <w:bookmarkEnd w:id="7"/>
      <w:bookmarkEnd w:id="8"/>
    </w:p>
    <w:p>
      <w:pPr>
        <w:adjustRightInd w:val="0"/>
        <w:snapToGrid w:val="0"/>
        <w:spacing w:line="360" w:lineRule="auto"/>
        <w:ind w:firstLine="480" w:firstLineChars="200"/>
        <w:jc w:val="both"/>
        <w:rPr>
          <w:rFonts w:cs="仿宋"/>
          <w:highlight w:val="none"/>
          <w:u w:val="single"/>
        </w:rPr>
      </w:pPr>
    </w:p>
    <w:p>
      <w:pPr>
        <w:adjustRightInd w:val="0"/>
        <w:snapToGrid w:val="0"/>
        <w:spacing w:line="360" w:lineRule="auto"/>
        <w:ind w:firstLine="480" w:firstLineChars="200"/>
        <w:jc w:val="both"/>
        <w:rPr>
          <w:rFonts w:cs="仿宋"/>
          <w:highlight w:val="none"/>
        </w:rPr>
      </w:pPr>
      <w:r>
        <w:rPr>
          <w:rFonts w:hint="eastAsia" w:cs="仿宋"/>
          <w:highlight w:val="none"/>
          <w:u w:val="single"/>
        </w:rPr>
        <w:t>西南联合产权交易所有限责任公司</w:t>
      </w:r>
      <w:r>
        <w:rPr>
          <w:rFonts w:hint="eastAsia" w:cs="仿宋"/>
          <w:highlight w:val="none"/>
        </w:rPr>
        <w:t>（采购代理机构）受</w:t>
      </w:r>
      <w:bookmarkStart w:id="9" w:name="PO_采购人_2"/>
      <w:r>
        <w:rPr>
          <w:rFonts w:hint="eastAsia" w:cs="仿宋"/>
          <w:highlight w:val="none"/>
          <w:u w:val="single"/>
        </w:rPr>
        <w:t>什邡国润供水有限公司</w:t>
      </w:r>
      <w:r>
        <w:rPr>
          <w:rFonts w:hint="eastAsia" w:cs="仿宋"/>
          <w:highlight w:val="none"/>
        </w:rPr>
        <w:t>（采购人</w:t>
      </w:r>
      <w:bookmarkEnd w:id="9"/>
      <w:r>
        <w:rPr>
          <w:rFonts w:hint="eastAsia" w:cs="仿宋"/>
          <w:highlight w:val="none"/>
        </w:rPr>
        <w:t>）委托，拟对</w:t>
      </w:r>
      <w:bookmarkStart w:id="10" w:name="PO_默认文件内容_1"/>
      <w:r>
        <w:rPr>
          <w:rFonts w:hint="eastAsia" w:cs="仿宋"/>
          <w:highlight w:val="none"/>
          <w:u w:val="single"/>
        </w:rPr>
        <w:t>星悦城二次供水成套设备供应和安装工程项目</w:t>
      </w:r>
      <w:r>
        <w:rPr>
          <w:rFonts w:hint="eastAsia" w:cs="仿宋"/>
          <w:highlight w:val="none"/>
        </w:rPr>
        <w:t>（</w:t>
      </w:r>
      <w:bookmarkStart w:id="11" w:name="PO_项目名称_2"/>
      <w:r>
        <w:rPr>
          <w:rFonts w:hint="eastAsia" w:cs="仿宋"/>
          <w:highlight w:val="none"/>
        </w:rPr>
        <w:t>项目名称</w:t>
      </w:r>
      <w:bookmarkEnd w:id="11"/>
      <w:r>
        <w:rPr>
          <w:rFonts w:hint="eastAsia" w:cs="仿宋"/>
          <w:highlight w:val="none"/>
        </w:rPr>
        <w:t>）采用竞争性谈判方式进行采购，特邀请符合本次采购要求的供应商参加本项目的竞争性谈判。</w:t>
      </w:r>
      <w:bookmarkEnd w:id="10"/>
    </w:p>
    <w:p>
      <w:pPr>
        <w:adjustRightInd w:val="0"/>
        <w:snapToGrid w:val="0"/>
        <w:spacing w:line="360" w:lineRule="auto"/>
        <w:ind w:firstLine="480" w:firstLineChars="200"/>
        <w:rPr>
          <w:b/>
          <w:highlight w:val="none"/>
        </w:rPr>
      </w:pPr>
      <w:r>
        <w:rPr>
          <w:rFonts w:hint="eastAsia" w:cs="仿宋"/>
          <w:b/>
          <w:highlight w:val="none"/>
        </w:rPr>
        <w:t>一、采购项目基本情况</w:t>
      </w:r>
    </w:p>
    <w:p>
      <w:pPr>
        <w:adjustRightInd w:val="0"/>
        <w:snapToGrid w:val="0"/>
        <w:spacing w:line="360" w:lineRule="auto"/>
        <w:ind w:firstLine="480" w:firstLineChars="200"/>
        <w:rPr>
          <w:highlight w:val="none"/>
        </w:rPr>
      </w:pPr>
      <w:r>
        <w:rPr>
          <w:rFonts w:hint="eastAsia" w:cs="仿宋"/>
          <w:highlight w:val="none"/>
        </w:rPr>
        <w:t>1.项目编号：SWUEECG202200571。</w:t>
      </w:r>
    </w:p>
    <w:p>
      <w:pPr>
        <w:adjustRightInd w:val="0"/>
        <w:snapToGrid w:val="0"/>
        <w:spacing w:line="360" w:lineRule="auto"/>
        <w:ind w:firstLine="480" w:firstLineChars="200"/>
        <w:rPr>
          <w:rFonts w:cs="仿宋"/>
          <w:highlight w:val="none"/>
        </w:rPr>
      </w:pPr>
      <w:r>
        <w:rPr>
          <w:rFonts w:hint="eastAsia" w:cs="仿宋"/>
          <w:highlight w:val="none"/>
        </w:rPr>
        <w:t>2.采购项目名称：</w:t>
      </w:r>
      <w:r>
        <w:rPr>
          <w:rFonts w:hint="eastAsia" w:cs="仿宋"/>
          <w:highlight w:val="none"/>
          <w:u w:val="single"/>
        </w:rPr>
        <w:t>星悦城二次供水成套设备供应和安装工程项目</w:t>
      </w:r>
      <w:r>
        <w:rPr>
          <w:rFonts w:hint="eastAsia" w:cs="仿宋"/>
          <w:highlight w:val="none"/>
        </w:rPr>
        <w:t>。</w:t>
      </w:r>
    </w:p>
    <w:p>
      <w:pPr>
        <w:adjustRightInd w:val="0"/>
        <w:snapToGrid w:val="0"/>
        <w:spacing w:line="360" w:lineRule="auto"/>
        <w:ind w:firstLine="480" w:firstLineChars="200"/>
        <w:rPr>
          <w:rFonts w:cs="仿宋"/>
          <w:highlight w:val="none"/>
        </w:rPr>
      </w:pPr>
      <w:r>
        <w:rPr>
          <w:rFonts w:hint="eastAsia" w:cs="仿宋"/>
          <w:highlight w:val="none"/>
        </w:rPr>
        <w:t>3.工期：</w:t>
      </w:r>
      <w:r>
        <w:rPr>
          <w:rFonts w:cs="仿宋"/>
          <w:highlight w:val="none"/>
          <w:u w:val="single"/>
        </w:rPr>
        <w:t>50</w:t>
      </w:r>
      <w:r>
        <w:rPr>
          <w:rFonts w:hint="eastAsia" w:cs="仿宋"/>
          <w:highlight w:val="none"/>
          <w:u w:val="single"/>
        </w:rPr>
        <w:t>日历天</w:t>
      </w:r>
      <w:r>
        <w:rPr>
          <w:rFonts w:hint="eastAsia" w:cs="仿宋"/>
          <w:highlight w:val="none"/>
        </w:rPr>
        <w:t>。</w:t>
      </w:r>
    </w:p>
    <w:p>
      <w:pPr>
        <w:adjustRightInd w:val="0"/>
        <w:snapToGrid w:val="0"/>
        <w:spacing w:line="360" w:lineRule="auto"/>
        <w:ind w:firstLine="480" w:firstLineChars="200"/>
        <w:rPr>
          <w:b/>
          <w:highlight w:val="none"/>
        </w:rPr>
      </w:pPr>
      <w:r>
        <w:rPr>
          <w:rFonts w:hint="eastAsia" w:cs="仿宋"/>
          <w:b/>
          <w:highlight w:val="none"/>
        </w:rPr>
        <w:t>二、资金来源及预算金额</w:t>
      </w:r>
    </w:p>
    <w:p>
      <w:pPr>
        <w:adjustRightInd w:val="0"/>
        <w:snapToGrid w:val="0"/>
        <w:spacing w:line="360" w:lineRule="auto"/>
        <w:ind w:right="36" w:rightChars="15" w:firstLine="480" w:firstLineChars="200"/>
        <w:rPr>
          <w:b/>
          <w:bCs/>
          <w:highlight w:val="none"/>
          <w:u w:val="single"/>
        </w:rPr>
      </w:pPr>
      <w:r>
        <w:rPr>
          <w:rFonts w:hint="eastAsia" w:cs="仿宋"/>
          <w:highlight w:val="none"/>
        </w:rPr>
        <w:t>资金来源：</w:t>
      </w:r>
      <w:bookmarkStart w:id="12" w:name="PO_资金性质_1"/>
      <w:r>
        <w:rPr>
          <w:rFonts w:hint="eastAsia" w:cs="仿宋"/>
          <w:highlight w:val="none"/>
          <w:u w:val="single"/>
        </w:rPr>
        <w:t>自筹资金</w:t>
      </w:r>
      <w:bookmarkEnd w:id="12"/>
      <w:r>
        <w:rPr>
          <w:rFonts w:hint="eastAsia" w:cs="仿宋"/>
          <w:highlight w:val="none"/>
          <w:lang w:val="zh-CN"/>
        </w:rPr>
        <w:t>；预算金额：</w:t>
      </w:r>
      <w:r>
        <w:rPr>
          <w:rFonts w:hint="eastAsia"/>
          <w:color w:val="111111"/>
          <w:highlight w:val="none"/>
          <w:u w:val="single"/>
          <w:shd w:val="clear" w:color="auto" w:fill="FFFFFF"/>
          <w:lang w:eastAsia="zh-CN"/>
        </w:rPr>
        <w:t>684545</w:t>
      </w:r>
      <w:r>
        <w:rPr>
          <w:rFonts w:hint="eastAsia" w:cs="仿宋"/>
          <w:highlight w:val="none"/>
          <w:u w:val="single"/>
        </w:rPr>
        <w:t>元</w:t>
      </w:r>
      <w:r>
        <w:rPr>
          <w:rFonts w:hint="eastAsia" w:cs="仿宋"/>
          <w:highlight w:val="none"/>
        </w:rPr>
        <w:t>。</w:t>
      </w:r>
    </w:p>
    <w:p>
      <w:pPr>
        <w:adjustRightInd w:val="0"/>
        <w:snapToGrid w:val="0"/>
        <w:spacing w:line="360" w:lineRule="auto"/>
        <w:ind w:firstLine="480" w:firstLineChars="200"/>
        <w:rPr>
          <w:highlight w:val="none"/>
        </w:rPr>
      </w:pPr>
      <w:r>
        <w:rPr>
          <w:rFonts w:hint="eastAsia" w:cs="仿宋"/>
          <w:b/>
          <w:bCs/>
          <w:highlight w:val="none"/>
        </w:rPr>
        <w:t>三、采购项目概况：</w:t>
      </w:r>
    </w:p>
    <w:p>
      <w:pPr>
        <w:adjustRightInd w:val="0"/>
        <w:snapToGrid w:val="0"/>
        <w:spacing w:line="360" w:lineRule="auto"/>
        <w:ind w:firstLine="480" w:firstLineChars="200"/>
        <w:rPr>
          <w:rFonts w:cs="仿宋"/>
          <w:highlight w:val="none"/>
        </w:rPr>
      </w:pPr>
      <w:bookmarkStart w:id="13" w:name="PO_默认文件内容_2"/>
      <w:r>
        <w:rPr>
          <w:rFonts w:hint="eastAsia" w:cs="仿宋"/>
          <w:highlight w:val="none"/>
        </w:rPr>
        <w:t>（具体采购要求详见谈判文件第五章）</w:t>
      </w:r>
      <w:bookmarkEnd w:id="13"/>
    </w:p>
    <w:p>
      <w:pPr>
        <w:adjustRightInd w:val="0"/>
        <w:snapToGrid w:val="0"/>
        <w:spacing w:line="360" w:lineRule="auto"/>
        <w:ind w:firstLine="480" w:firstLineChars="200"/>
        <w:rPr>
          <w:b/>
          <w:bCs/>
          <w:highlight w:val="none"/>
        </w:rPr>
      </w:pPr>
      <w:bookmarkStart w:id="14" w:name="PO_默认文件内容_3"/>
      <w:r>
        <w:rPr>
          <w:rFonts w:hint="eastAsia" w:cs="仿宋"/>
          <w:b/>
          <w:bCs/>
          <w:highlight w:val="none"/>
        </w:rPr>
        <w:t>四、供应商邀请方式</w:t>
      </w:r>
    </w:p>
    <w:p>
      <w:pPr>
        <w:pStyle w:val="145"/>
        <w:adjustRightInd w:val="0"/>
        <w:snapToGrid w:val="0"/>
        <w:ind w:firstLine="480"/>
        <w:rPr>
          <w:rFonts w:ascii="宋体" w:hAnsi="宋体" w:cs="仿宋"/>
          <w:b/>
          <w:bCs/>
          <w:sz w:val="24"/>
          <w:szCs w:val="24"/>
          <w:highlight w:val="none"/>
        </w:rPr>
      </w:pPr>
      <w:r>
        <w:rPr>
          <w:rFonts w:hint="eastAsia" w:ascii="宋体" w:hAnsi="宋体" w:cs="仿宋"/>
          <w:sz w:val="24"/>
          <w:szCs w:val="24"/>
          <w:highlight w:val="none"/>
        </w:rPr>
        <w:t>公告方式：本次竞争性谈判邀请在西南联合产权交易所招采平台官网（https://www.swuee.com/#/purchase/index）上以公告形式发布。</w:t>
      </w:r>
      <w:bookmarkEnd w:id="14"/>
    </w:p>
    <w:p>
      <w:pPr>
        <w:pStyle w:val="145"/>
        <w:adjustRightInd w:val="0"/>
        <w:snapToGrid w:val="0"/>
        <w:ind w:firstLine="482"/>
        <w:rPr>
          <w:rFonts w:ascii="宋体" w:hAnsi="宋体" w:cs="仿宋"/>
          <w:b/>
          <w:bCs/>
          <w:sz w:val="24"/>
          <w:szCs w:val="24"/>
          <w:highlight w:val="none"/>
        </w:rPr>
      </w:pPr>
      <w:r>
        <w:rPr>
          <w:rFonts w:hint="eastAsia" w:ascii="宋体" w:hAnsi="宋体" w:cs="仿宋"/>
          <w:b/>
          <w:bCs/>
          <w:sz w:val="24"/>
          <w:szCs w:val="24"/>
          <w:highlight w:val="none"/>
        </w:rPr>
        <w:t>五、供应商资格要求：</w:t>
      </w:r>
    </w:p>
    <w:p>
      <w:pPr>
        <w:pStyle w:val="145"/>
        <w:adjustRightInd w:val="0"/>
        <w:snapToGrid w:val="0"/>
        <w:ind w:firstLine="480"/>
        <w:rPr>
          <w:rFonts w:ascii="宋体" w:hAnsi="宋体" w:cs="仿宋"/>
          <w:sz w:val="24"/>
          <w:szCs w:val="24"/>
          <w:highlight w:val="none"/>
        </w:rPr>
      </w:pPr>
      <w:bookmarkStart w:id="15" w:name="_Hlk92196164"/>
      <w:r>
        <w:rPr>
          <w:rFonts w:ascii="宋体" w:hAnsi="宋体" w:cs="仿宋"/>
          <w:sz w:val="24"/>
          <w:szCs w:val="24"/>
          <w:highlight w:val="none"/>
        </w:rPr>
        <w:t>1.具有独立承担民事责任的能力；</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2.具有良好的商业信誉和健全的财务会计制度；</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3.具有履行合同所必须的设备和专业技术能力；</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4.具有依法缴纳税收和社会保障资金的良好记录；</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5.参加本次采购活动前三年内，在经营活动中没有重大违法记录；</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6.法律、行政法规规定的其他条件；</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7.采购人根据采购项目提出的特殊条件</w:t>
      </w:r>
      <w:r>
        <w:rPr>
          <w:rFonts w:hint="eastAsia" w:ascii="宋体" w:hAnsi="宋体" w:cs="仿宋"/>
          <w:sz w:val="24"/>
          <w:szCs w:val="24"/>
          <w:highlight w:val="none"/>
        </w:rPr>
        <w:t>：</w:t>
      </w:r>
    </w:p>
    <w:p>
      <w:pPr>
        <w:pStyle w:val="145"/>
        <w:adjustRightInd w:val="0"/>
        <w:snapToGrid w:val="0"/>
        <w:ind w:firstLine="48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.1</w:t>
      </w:r>
      <w:r>
        <w:rPr>
          <w:rFonts w:hint="eastAsia" w:ascii="宋体" w:hAnsi="宋体" w:cs="仿宋"/>
          <w:sz w:val="24"/>
          <w:szCs w:val="24"/>
          <w:highlight w:val="none"/>
        </w:rPr>
        <w:t>供应商所提供不锈钢管材必须具有省级及以上卫生部门颁发国产涉及饮用水卫生安全产品卫生许可批件。</w:t>
      </w:r>
    </w:p>
    <w:p>
      <w:pPr>
        <w:pStyle w:val="145"/>
        <w:adjustRightInd w:val="0"/>
        <w:snapToGrid w:val="0"/>
        <w:ind w:firstLine="48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.2</w:t>
      </w:r>
      <w:r>
        <w:rPr>
          <w:rFonts w:hint="eastAsia" w:ascii="宋体" w:hAnsi="宋体" w:cs="仿宋"/>
          <w:sz w:val="24"/>
          <w:szCs w:val="24"/>
          <w:highlight w:val="none"/>
        </w:rPr>
        <w:t>供应商单位及其现任法定代表人、主要负责人</w:t>
      </w:r>
      <w:r>
        <w:rPr>
          <w:rFonts w:hint="eastAsia" w:ascii="宋体" w:hAnsi="宋体"/>
          <w:color w:val="000000"/>
          <w:sz w:val="24"/>
          <w:highlight w:val="none"/>
        </w:rPr>
        <w:t>参加本次采购活动前三年内</w:t>
      </w:r>
      <w:r>
        <w:rPr>
          <w:rFonts w:hint="eastAsia" w:ascii="宋体" w:hAnsi="宋体" w:cs="仿宋"/>
          <w:sz w:val="24"/>
          <w:szCs w:val="24"/>
          <w:highlight w:val="none"/>
        </w:rPr>
        <w:t>无行贿犯罪记录。</w:t>
      </w:r>
    </w:p>
    <w:p>
      <w:pPr>
        <w:pStyle w:val="145"/>
        <w:adjustRightInd w:val="0"/>
        <w:snapToGrid w:val="0"/>
        <w:ind w:firstLine="48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.3本次</w:t>
      </w:r>
      <w:r>
        <w:rPr>
          <w:rFonts w:hint="eastAsia" w:ascii="宋体" w:hAnsi="宋体" w:cs="仿宋"/>
          <w:sz w:val="24"/>
          <w:szCs w:val="24"/>
          <w:highlight w:val="none"/>
        </w:rPr>
        <w:t>采购</w:t>
      </w:r>
      <w:r>
        <w:rPr>
          <w:rFonts w:ascii="宋体" w:hAnsi="宋体" w:cs="仿宋"/>
          <w:sz w:val="24"/>
          <w:szCs w:val="24"/>
          <w:highlight w:val="none"/>
        </w:rPr>
        <w:t>不允许联合体</w:t>
      </w:r>
      <w:r>
        <w:rPr>
          <w:rFonts w:hint="eastAsia" w:ascii="宋体" w:hAnsi="宋体" w:cs="仿宋"/>
          <w:sz w:val="24"/>
          <w:szCs w:val="24"/>
          <w:highlight w:val="none"/>
        </w:rPr>
        <w:t>参与竞争性谈判。</w:t>
      </w:r>
    </w:p>
    <w:bookmarkEnd w:id="15"/>
    <w:p>
      <w:pPr>
        <w:spacing w:after="50" w:line="360" w:lineRule="auto"/>
        <w:ind w:firstLine="480" w:firstLineChars="200"/>
        <w:rPr>
          <w:rFonts w:cs="仿宋"/>
          <w:b/>
          <w:highlight w:val="none"/>
        </w:rPr>
      </w:pPr>
      <w:r>
        <w:rPr>
          <w:rFonts w:hint="eastAsia" w:cs="仿宋"/>
          <w:b/>
          <w:highlight w:val="none"/>
        </w:rPr>
        <w:t>六、竞争性谈判文件获取方式：</w:t>
      </w:r>
    </w:p>
    <w:p>
      <w:pPr>
        <w:spacing w:after="50" w:line="360" w:lineRule="auto"/>
        <w:ind w:firstLine="480" w:firstLineChars="200"/>
        <w:rPr>
          <w:rFonts w:cs="仿宋"/>
          <w:kern w:val="2"/>
          <w:highlight w:val="none"/>
        </w:rPr>
      </w:pPr>
      <w:bookmarkStart w:id="16" w:name="_Hlk85699454"/>
      <w:r>
        <w:rPr>
          <w:rFonts w:hint="eastAsia" w:cs="仿宋"/>
          <w:kern w:val="2"/>
          <w:highlight w:val="none"/>
        </w:rPr>
        <w:t>（一）获取竞争性谈判文件时间：</w:t>
      </w:r>
      <w:r>
        <w:rPr>
          <w:rFonts w:cs="仿宋"/>
          <w:kern w:val="2"/>
          <w:highlight w:val="none"/>
          <w:u w:val="single"/>
        </w:rPr>
        <w:t>2022</w:t>
      </w:r>
      <w:r>
        <w:rPr>
          <w:rFonts w:hint="eastAsia" w:cs="仿宋"/>
          <w:kern w:val="2"/>
          <w:highlight w:val="none"/>
        </w:rPr>
        <w:t>年</w:t>
      </w:r>
      <w:r>
        <w:rPr>
          <w:rFonts w:hint="eastAsia" w:cs="仿宋"/>
          <w:kern w:val="2"/>
          <w:highlight w:val="none"/>
          <w:u w:val="single"/>
        </w:rPr>
        <w:t xml:space="preserve"> </w:t>
      </w:r>
      <w:r>
        <w:rPr>
          <w:rFonts w:hint="eastAsia" w:cs="仿宋"/>
          <w:kern w:val="2"/>
          <w:highlight w:val="none"/>
          <w:u w:val="single"/>
          <w:lang w:val="en-US" w:eastAsia="zh-CN"/>
        </w:rPr>
        <w:t>5</w:t>
      </w:r>
      <w:r>
        <w:rPr>
          <w:rFonts w:hint="eastAsia" w:cs="仿宋"/>
          <w:kern w:val="2"/>
          <w:highlight w:val="none"/>
          <w:u w:val="single"/>
        </w:rPr>
        <w:t xml:space="preserve"> </w:t>
      </w:r>
      <w:r>
        <w:rPr>
          <w:rFonts w:hint="eastAsia" w:cs="仿宋"/>
          <w:kern w:val="2"/>
          <w:highlight w:val="none"/>
        </w:rPr>
        <w:t>月</w:t>
      </w:r>
      <w:r>
        <w:rPr>
          <w:rFonts w:hint="eastAsia" w:cs="仿宋"/>
          <w:kern w:val="2"/>
          <w:highlight w:val="none"/>
          <w:u w:val="single"/>
        </w:rPr>
        <w:t xml:space="preserve"> </w:t>
      </w:r>
      <w:r>
        <w:rPr>
          <w:rFonts w:hint="eastAsia" w:cs="仿宋"/>
          <w:kern w:val="2"/>
          <w:highlight w:val="none"/>
          <w:u w:val="single"/>
          <w:lang w:val="en-US" w:eastAsia="zh-CN"/>
        </w:rPr>
        <w:t>18</w:t>
      </w:r>
      <w:r>
        <w:rPr>
          <w:rFonts w:hint="eastAsia" w:cs="仿宋"/>
          <w:kern w:val="2"/>
          <w:highlight w:val="none"/>
          <w:u w:val="single"/>
        </w:rPr>
        <w:t xml:space="preserve"> </w:t>
      </w:r>
      <w:r>
        <w:rPr>
          <w:rFonts w:hint="eastAsia" w:cs="仿宋"/>
          <w:kern w:val="2"/>
          <w:highlight w:val="none"/>
        </w:rPr>
        <w:t>日9:0</w:t>
      </w:r>
      <w:r>
        <w:rPr>
          <w:rFonts w:cs="仿宋"/>
          <w:kern w:val="2"/>
          <w:highlight w:val="none"/>
        </w:rPr>
        <w:t>0</w:t>
      </w:r>
      <w:r>
        <w:rPr>
          <w:rFonts w:hint="eastAsia" w:cs="仿宋"/>
          <w:kern w:val="2"/>
          <w:highlight w:val="none"/>
        </w:rPr>
        <w:t>至</w:t>
      </w:r>
      <w:r>
        <w:rPr>
          <w:rFonts w:hint="eastAsia" w:cs="仿宋"/>
          <w:kern w:val="2"/>
          <w:highlight w:val="none"/>
          <w:u w:val="single"/>
        </w:rPr>
        <w:t xml:space="preserve"> </w:t>
      </w:r>
      <w:r>
        <w:rPr>
          <w:rFonts w:hint="eastAsia" w:cs="仿宋"/>
          <w:kern w:val="2"/>
          <w:highlight w:val="none"/>
          <w:u w:val="single"/>
          <w:lang w:val="en-US" w:eastAsia="zh-CN"/>
        </w:rPr>
        <w:t>2022</w:t>
      </w:r>
      <w:r>
        <w:rPr>
          <w:rFonts w:hint="eastAsia" w:cs="仿宋"/>
          <w:kern w:val="2"/>
          <w:highlight w:val="none"/>
          <w:u w:val="single"/>
        </w:rPr>
        <w:t xml:space="preserve"> </w:t>
      </w:r>
      <w:r>
        <w:rPr>
          <w:rFonts w:hint="eastAsia" w:cs="仿宋"/>
          <w:kern w:val="2"/>
          <w:highlight w:val="none"/>
        </w:rPr>
        <w:t>年</w:t>
      </w:r>
      <w:r>
        <w:rPr>
          <w:rFonts w:hint="eastAsia" w:cs="仿宋"/>
          <w:kern w:val="2"/>
          <w:highlight w:val="none"/>
          <w:u w:val="single"/>
        </w:rPr>
        <w:t xml:space="preserve"> </w:t>
      </w:r>
      <w:r>
        <w:rPr>
          <w:rFonts w:hint="eastAsia" w:cs="仿宋"/>
          <w:kern w:val="2"/>
          <w:highlight w:val="none"/>
          <w:u w:val="single"/>
          <w:lang w:val="en-US" w:eastAsia="zh-CN"/>
        </w:rPr>
        <w:t>5</w:t>
      </w:r>
      <w:r>
        <w:rPr>
          <w:rFonts w:hint="eastAsia" w:cs="仿宋"/>
          <w:kern w:val="2"/>
          <w:highlight w:val="none"/>
          <w:u w:val="single"/>
        </w:rPr>
        <w:t xml:space="preserve"> </w:t>
      </w:r>
      <w:r>
        <w:rPr>
          <w:rFonts w:hint="eastAsia" w:cs="仿宋"/>
          <w:kern w:val="2"/>
          <w:highlight w:val="none"/>
        </w:rPr>
        <w:t>月</w:t>
      </w:r>
      <w:r>
        <w:rPr>
          <w:rFonts w:hint="eastAsia" w:cs="仿宋"/>
          <w:kern w:val="2"/>
          <w:highlight w:val="none"/>
          <w:u w:val="single"/>
        </w:rPr>
        <w:t xml:space="preserve">  </w:t>
      </w:r>
      <w:r>
        <w:rPr>
          <w:rFonts w:hint="eastAsia" w:cs="仿宋"/>
          <w:kern w:val="2"/>
          <w:highlight w:val="none"/>
          <w:u w:val="single"/>
          <w:lang w:val="en-US" w:eastAsia="zh-CN"/>
        </w:rPr>
        <w:t>20</w:t>
      </w:r>
      <w:r>
        <w:rPr>
          <w:rFonts w:hint="eastAsia" w:cs="仿宋"/>
          <w:kern w:val="2"/>
          <w:highlight w:val="none"/>
          <w:u w:val="single"/>
        </w:rPr>
        <w:t xml:space="preserve"> </w:t>
      </w:r>
      <w:r>
        <w:rPr>
          <w:rFonts w:hint="eastAsia" w:cs="仿宋"/>
          <w:kern w:val="2"/>
          <w:highlight w:val="none"/>
        </w:rPr>
        <w:t>日17:00（北京时间）。</w:t>
      </w:r>
    </w:p>
    <w:bookmarkEnd w:id="16"/>
    <w:p>
      <w:pPr>
        <w:spacing w:after="50" w:line="360" w:lineRule="auto"/>
        <w:ind w:firstLine="480" w:firstLineChars="200"/>
        <w:rPr>
          <w:rFonts w:cs="仿宋"/>
          <w:kern w:val="2"/>
          <w:highlight w:val="none"/>
        </w:rPr>
      </w:pPr>
      <w:r>
        <w:rPr>
          <w:rFonts w:hint="eastAsia" w:cs="仿宋"/>
          <w:kern w:val="2"/>
          <w:highlight w:val="none"/>
        </w:rPr>
        <w:t>（二）获取竞争性谈判文件方式：凡有意报名参与本项目的潜在供应商，请于获取竞争性谈判文件时间内注册并登陆西南联合产权交易所电子招采平台网站（https://www.swuee.com/#/purchase/index），按照网上操作流程（资料下载-供应商操作手册）获取竞争性谈判文件。</w:t>
      </w:r>
    </w:p>
    <w:p>
      <w:pPr>
        <w:spacing w:after="50" w:line="360" w:lineRule="auto"/>
        <w:ind w:firstLine="480" w:firstLineChars="200"/>
        <w:rPr>
          <w:highlight w:val="none"/>
        </w:rPr>
      </w:pPr>
      <w:r>
        <w:rPr>
          <w:rFonts w:hint="eastAsia" w:cs="仿宋"/>
          <w:kern w:val="2"/>
          <w:highlight w:val="none"/>
        </w:rPr>
        <w:t>（三）获取竞争性谈判文件费用：人民币</w:t>
      </w:r>
      <w:r>
        <w:rPr>
          <w:rFonts w:hint="eastAsia" w:cs="仿宋"/>
          <w:kern w:val="2"/>
          <w:highlight w:val="none"/>
          <w:u w:val="single"/>
        </w:rPr>
        <w:t>200</w:t>
      </w:r>
      <w:r>
        <w:rPr>
          <w:rFonts w:hint="eastAsia" w:cs="仿宋"/>
          <w:kern w:val="2"/>
          <w:highlight w:val="none"/>
        </w:rPr>
        <w:t>元/份，须通过供应商银行账户转账方式交纳竞争性谈判文件获取费用（不接收个人转账，竞争性谈判文件售后不退, 谈判资格不能转让），转账前请核实招采平台转账页面的“项目信息”，认真阅读“注意事项”并按照“支付信息”进行转账。</w:t>
      </w:r>
    </w:p>
    <w:p>
      <w:pPr>
        <w:spacing w:after="50" w:line="360" w:lineRule="auto"/>
        <w:ind w:firstLine="480" w:firstLineChars="200"/>
        <w:rPr>
          <w:rFonts w:cs="仿宋"/>
          <w:highlight w:val="none"/>
        </w:rPr>
      </w:pPr>
      <w:r>
        <w:rPr>
          <w:rFonts w:hint="eastAsia" w:cs="仿宋"/>
          <w:b/>
          <w:bCs/>
          <w:highlight w:val="none"/>
        </w:rPr>
        <w:t>注：未按照本项要求报名的供应商，无谈判资格。</w:t>
      </w:r>
    </w:p>
    <w:p>
      <w:pPr>
        <w:spacing w:after="156" w:afterLines="50" w:line="360" w:lineRule="auto"/>
        <w:ind w:firstLine="480" w:firstLineChars="200"/>
        <w:rPr>
          <w:rFonts w:cs="仿宋"/>
          <w:bCs/>
          <w:highlight w:val="none"/>
        </w:rPr>
      </w:pPr>
      <w:r>
        <w:rPr>
          <w:rFonts w:hint="eastAsia" w:cs="仿宋"/>
          <w:b/>
          <w:highlight w:val="none"/>
        </w:rPr>
        <w:t>七、递交响应文件截止时间和谈判时间：</w:t>
      </w:r>
    </w:p>
    <w:p>
      <w:pPr>
        <w:spacing w:after="156" w:afterLines="50" w:line="360" w:lineRule="auto"/>
        <w:ind w:firstLine="480" w:firstLineChars="200"/>
        <w:rPr>
          <w:rFonts w:cs="仿宋"/>
          <w:bCs/>
          <w:highlight w:val="none"/>
        </w:rPr>
      </w:pPr>
      <w:r>
        <w:rPr>
          <w:rFonts w:hint="eastAsia" w:cs="仿宋"/>
          <w:bCs/>
          <w:highlight w:val="none"/>
        </w:rPr>
        <w:t>递交响应文件截止时间和谈判时间：</w:t>
      </w:r>
      <w:r>
        <w:rPr>
          <w:rFonts w:cs="仿宋"/>
          <w:bCs/>
          <w:highlight w:val="none"/>
          <w:u w:val="single"/>
        </w:rPr>
        <w:t>2022</w:t>
      </w:r>
      <w:r>
        <w:rPr>
          <w:rFonts w:hint="eastAsia" w:cs="仿宋"/>
          <w:bCs/>
          <w:highlight w:val="none"/>
        </w:rPr>
        <w:t>年</w:t>
      </w:r>
      <w:r>
        <w:rPr>
          <w:rFonts w:hint="eastAsia" w:cs="仿宋"/>
          <w:bCs/>
          <w:highlight w:val="none"/>
          <w:u w:val="single"/>
        </w:rPr>
        <w:t xml:space="preserve">  </w:t>
      </w:r>
      <w:r>
        <w:rPr>
          <w:rFonts w:hint="eastAsia" w:cs="仿宋"/>
          <w:bCs/>
          <w:highlight w:val="none"/>
          <w:u w:val="single"/>
          <w:lang w:val="en-US" w:eastAsia="zh-CN"/>
        </w:rPr>
        <w:t>5</w:t>
      </w:r>
      <w:r>
        <w:rPr>
          <w:rFonts w:hint="eastAsia" w:cs="仿宋"/>
          <w:bCs/>
          <w:highlight w:val="none"/>
          <w:u w:val="single"/>
        </w:rPr>
        <w:t xml:space="preserve"> </w:t>
      </w:r>
      <w:r>
        <w:rPr>
          <w:rFonts w:hint="eastAsia" w:cs="仿宋"/>
          <w:bCs/>
          <w:highlight w:val="none"/>
        </w:rPr>
        <w:t>月</w:t>
      </w:r>
      <w:r>
        <w:rPr>
          <w:rFonts w:hint="eastAsia" w:cs="仿宋"/>
          <w:bCs/>
          <w:highlight w:val="none"/>
          <w:u w:val="single"/>
        </w:rPr>
        <w:t xml:space="preserve"> </w:t>
      </w:r>
      <w:r>
        <w:rPr>
          <w:rFonts w:hint="eastAsia" w:cs="仿宋"/>
          <w:bCs/>
          <w:highlight w:val="none"/>
          <w:u w:val="single"/>
          <w:lang w:val="en-US" w:eastAsia="zh-CN"/>
        </w:rPr>
        <w:t>23</w:t>
      </w:r>
      <w:r>
        <w:rPr>
          <w:rFonts w:hint="eastAsia" w:cs="仿宋"/>
          <w:bCs/>
          <w:highlight w:val="none"/>
          <w:u w:val="single"/>
        </w:rPr>
        <w:t xml:space="preserve">  </w:t>
      </w:r>
      <w:r>
        <w:rPr>
          <w:rFonts w:hint="eastAsia" w:cs="仿宋"/>
          <w:bCs/>
          <w:highlight w:val="none"/>
        </w:rPr>
        <w:t>日1</w:t>
      </w:r>
      <w:r>
        <w:rPr>
          <w:rFonts w:hint="eastAsia" w:cs="仿宋"/>
          <w:bCs/>
          <w:highlight w:val="none"/>
          <w:lang w:val="en-US" w:eastAsia="zh-CN"/>
        </w:rPr>
        <w:t>1</w:t>
      </w:r>
      <w:r>
        <w:rPr>
          <w:rFonts w:cs="仿宋"/>
          <w:bCs/>
          <w:highlight w:val="none"/>
        </w:rPr>
        <w:t>:00</w:t>
      </w:r>
      <w:r>
        <w:rPr>
          <w:rFonts w:hint="eastAsia" w:cs="仿宋"/>
          <w:bCs/>
          <w:highlight w:val="none"/>
        </w:rPr>
        <w:t>（北京时间）。</w:t>
      </w:r>
    </w:p>
    <w:p>
      <w:pPr>
        <w:spacing w:after="156" w:afterLines="50" w:line="360" w:lineRule="auto"/>
        <w:ind w:firstLine="480" w:firstLineChars="200"/>
        <w:rPr>
          <w:rFonts w:cs="仿宋"/>
          <w:bCs/>
          <w:highlight w:val="none"/>
        </w:rPr>
      </w:pPr>
      <w:r>
        <w:rPr>
          <w:rFonts w:hint="eastAsia" w:cs="仿宋"/>
          <w:b/>
          <w:highlight w:val="none"/>
        </w:rPr>
        <w:t>八、</w:t>
      </w:r>
      <w:r>
        <w:rPr>
          <w:rFonts w:hint="eastAsia" w:cs="仿宋"/>
          <w:bCs/>
          <w:highlight w:val="none"/>
        </w:rPr>
        <w:t>响应文件必须在递交截止时间前送达谈判地点，逾期送达或没有密封的响应文件不予接收，本次谈判不接受邮寄的响应文件。</w:t>
      </w:r>
    </w:p>
    <w:p>
      <w:pPr>
        <w:spacing w:after="50" w:line="360" w:lineRule="auto"/>
        <w:ind w:firstLine="487" w:firstLineChars="203"/>
        <w:rPr>
          <w:rFonts w:cs="仿宋"/>
          <w:highlight w:val="none"/>
        </w:rPr>
      </w:pPr>
      <w:r>
        <w:rPr>
          <w:rFonts w:hint="eastAsia" w:cs="仿宋"/>
          <w:b/>
          <w:highlight w:val="none"/>
        </w:rPr>
        <w:t>九、</w:t>
      </w:r>
      <w:r>
        <w:rPr>
          <w:rFonts w:hint="eastAsia" w:cs="仿宋"/>
          <w:highlight w:val="none"/>
        </w:rPr>
        <w:t>谈判地点：</w:t>
      </w:r>
      <w:r>
        <w:rPr>
          <w:rFonts w:hint="eastAsia" w:cs="仿宋"/>
          <w:highlight w:val="none"/>
          <w:u w:val="single"/>
        </w:rPr>
        <w:t>成都市高新区天府二街198号1楼西南联合产权交易所交易大厅</w:t>
      </w:r>
      <w:r>
        <w:rPr>
          <w:rFonts w:hint="eastAsia" w:cs="仿宋"/>
          <w:bCs/>
          <w:highlight w:val="none"/>
        </w:rPr>
        <w:t>。</w:t>
      </w:r>
    </w:p>
    <w:p>
      <w:pPr>
        <w:spacing w:after="50" w:line="360" w:lineRule="auto"/>
        <w:ind w:firstLine="487" w:firstLineChars="203"/>
        <w:rPr>
          <w:rFonts w:cs="仿宋"/>
          <w:b/>
          <w:bCs/>
          <w:highlight w:val="none"/>
        </w:rPr>
      </w:pPr>
      <w:r>
        <w:rPr>
          <w:rFonts w:hint="eastAsia" w:cs="仿宋"/>
          <w:b/>
          <w:highlight w:val="none"/>
        </w:rPr>
        <w:t>十、</w:t>
      </w:r>
      <w:r>
        <w:rPr>
          <w:rFonts w:hint="eastAsia" w:cs="仿宋"/>
          <w:bCs/>
          <w:highlight w:val="none"/>
        </w:rPr>
        <w:t>本项目公告信息指定在西南联合产权交易所电子招采平台网站（https://www.swuee.com/#/purchase/index）发布，采购人和采购代理机构可以在其他公开媒体同时发布公告信息，以西南联合产权交易所电子招采平台网站发布的信息为准。</w:t>
      </w:r>
    </w:p>
    <w:p>
      <w:pPr>
        <w:pStyle w:val="145"/>
        <w:adjustRightInd w:val="0"/>
        <w:snapToGrid w:val="0"/>
        <w:ind w:firstLine="482"/>
        <w:rPr>
          <w:rFonts w:ascii="宋体" w:hAnsi="宋体" w:cs="仿宋"/>
          <w:b/>
          <w:bCs/>
          <w:sz w:val="24"/>
          <w:szCs w:val="24"/>
          <w:highlight w:val="none"/>
        </w:rPr>
      </w:pPr>
      <w:r>
        <w:rPr>
          <w:rFonts w:hint="eastAsia" w:ascii="宋体" w:hAnsi="宋体" w:cs="仿宋"/>
          <w:b/>
          <w:bCs/>
          <w:sz w:val="24"/>
          <w:szCs w:val="24"/>
          <w:highlight w:val="none"/>
        </w:rPr>
        <w:t>十一、联系方式</w:t>
      </w:r>
    </w:p>
    <w:p>
      <w:pPr>
        <w:tabs>
          <w:tab w:val="left" w:pos="2310"/>
        </w:tabs>
        <w:spacing w:line="360" w:lineRule="auto"/>
        <w:ind w:firstLine="480" w:firstLineChars="200"/>
        <w:rPr>
          <w:rFonts w:cs="仿宋"/>
          <w:highlight w:val="none"/>
        </w:rPr>
      </w:pPr>
      <w:bookmarkStart w:id="17" w:name="_Toc213396945"/>
      <w:bookmarkStart w:id="18" w:name="_Toc509579141"/>
      <w:bookmarkStart w:id="19" w:name="_Toc213396759"/>
      <w:bookmarkStart w:id="20" w:name="_Toc213397009"/>
      <w:bookmarkStart w:id="21" w:name="_Toc213496267"/>
      <w:bookmarkStart w:id="22" w:name="_Toc217446031"/>
      <w:r>
        <w:rPr>
          <w:rFonts w:hint="eastAsia" w:cs="仿宋"/>
          <w:b/>
          <w:bCs/>
          <w:highlight w:val="none"/>
        </w:rPr>
        <w:t>采 购 人：什邡国润供水有限公司</w:t>
      </w:r>
    </w:p>
    <w:p>
      <w:pPr>
        <w:tabs>
          <w:tab w:val="left" w:pos="2310"/>
        </w:tabs>
        <w:spacing w:line="360" w:lineRule="auto"/>
        <w:ind w:firstLine="480" w:firstLineChars="200"/>
        <w:rPr>
          <w:rFonts w:cs="仿宋"/>
          <w:highlight w:val="none"/>
        </w:rPr>
      </w:pPr>
      <w:r>
        <w:rPr>
          <w:rFonts w:hint="eastAsia" w:cs="仿宋"/>
          <w:highlight w:val="none"/>
        </w:rPr>
        <w:t>联 系 人：李老师</w:t>
      </w:r>
    </w:p>
    <w:p>
      <w:pPr>
        <w:tabs>
          <w:tab w:val="left" w:pos="2310"/>
        </w:tabs>
        <w:spacing w:line="360" w:lineRule="auto"/>
        <w:ind w:firstLine="480" w:firstLineChars="200"/>
        <w:rPr>
          <w:rFonts w:cs="仿宋"/>
          <w:highlight w:val="none"/>
        </w:rPr>
      </w:pPr>
      <w:r>
        <w:rPr>
          <w:rFonts w:hint="eastAsia" w:cs="仿宋"/>
          <w:highlight w:val="none"/>
        </w:rPr>
        <w:t>联系电话：</w:t>
      </w:r>
      <w:r>
        <w:rPr>
          <w:rFonts w:cs="仿宋"/>
          <w:highlight w:val="none"/>
        </w:rPr>
        <w:t>13628070102</w:t>
      </w:r>
    </w:p>
    <w:p>
      <w:pPr>
        <w:pStyle w:val="145"/>
        <w:ind w:firstLine="482"/>
        <w:rPr>
          <w:rFonts w:ascii="宋体" w:hAnsi="宋体" w:cs="仿宋"/>
          <w:b/>
          <w:sz w:val="24"/>
          <w:highlight w:val="none"/>
        </w:rPr>
      </w:pPr>
      <w:r>
        <w:rPr>
          <w:rFonts w:hint="eastAsia" w:ascii="宋体" w:hAnsi="宋体" w:cs="仿宋"/>
          <w:b/>
          <w:sz w:val="24"/>
          <w:highlight w:val="none"/>
        </w:rPr>
        <w:t>采购代理机构：西南联合产权交易所有限责任公司</w:t>
      </w:r>
    </w:p>
    <w:p>
      <w:pPr>
        <w:pStyle w:val="145"/>
        <w:ind w:firstLine="480"/>
        <w:rPr>
          <w:rFonts w:ascii="宋体" w:hAnsi="宋体" w:cs="仿宋"/>
          <w:b/>
          <w:bCs/>
          <w:kern w:val="0"/>
          <w:sz w:val="24"/>
          <w:szCs w:val="24"/>
          <w:highlight w:val="none"/>
        </w:rPr>
      </w:pPr>
      <w:r>
        <w:rPr>
          <w:rFonts w:hint="eastAsia" w:ascii="宋体" w:hAnsi="宋体" w:cs="仿宋"/>
          <w:sz w:val="24"/>
          <w:highlight w:val="none"/>
        </w:rPr>
        <w:t>联 系 人：</w:t>
      </w:r>
      <w:r>
        <w:rPr>
          <w:rFonts w:hint="eastAsia" w:ascii="宋体" w:hAnsi="宋体" w:cs="仿宋"/>
          <w:kern w:val="0"/>
          <w:sz w:val="24"/>
          <w:szCs w:val="24"/>
          <w:highlight w:val="none"/>
        </w:rPr>
        <w:t>蒋女士</w:t>
      </w:r>
    </w:p>
    <w:p>
      <w:pPr>
        <w:pStyle w:val="145"/>
        <w:ind w:firstLine="480" w:firstLineChars="0"/>
        <w:rPr>
          <w:rFonts w:ascii="宋体" w:hAnsi="宋体" w:cs="仿宋"/>
          <w:sz w:val="24"/>
          <w:highlight w:val="none"/>
        </w:rPr>
      </w:pPr>
      <w:r>
        <w:rPr>
          <w:rFonts w:hint="eastAsia" w:ascii="宋体" w:hAnsi="宋体" w:cs="仿宋"/>
          <w:sz w:val="24"/>
          <w:highlight w:val="none"/>
        </w:rPr>
        <w:t>联系电话：18180870251</w:t>
      </w:r>
    </w:p>
    <w:p>
      <w:pPr>
        <w:pStyle w:val="145"/>
        <w:ind w:firstLine="480" w:firstLineChars="0"/>
        <w:rPr>
          <w:rFonts w:ascii="宋体" w:hAnsi="宋体" w:cs="仿宋"/>
          <w:sz w:val="24"/>
          <w:highlight w:val="none"/>
        </w:rPr>
      </w:pPr>
      <w:bookmarkStart w:id="23" w:name="_Toc69478554"/>
    </w:p>
    <w:p>
      <w:pPr>
        <w:pStyle w:val="145"/>
        <w:ind w:firstLine="480" w:firstLineChars="0"/>
        <w:rPr>
          <w:rFonts w:ascii="宋体" w:hAnsi="宋体" w:cs="仿宋"/>
          <w:sz w:val="24"/>
          <w:highlight w:val="none"/>
        </w:rPr>
      </w:pPr>
      <w:bookmarkStart w:id="24" w:name="_Hlk91602770"/>
      <w:r>
        <w:rPr>
          <w:rFonts w:hint="eastAsia" w:ascii="宋体" w:hAnsi="宋体" w:cs="仿宋"/>
          <w:sz w:val="24"/>
          <w:highlight w:val="none"/>
        </w:rPr>
        <w:t>注：1.</w:t>
      </w:r>
      <w:r>
        <w:rPr>
          <w:rFonts w:hint="eastAsia" w:ascii="宋体" w:hAnsi="宋体"/>
          <w:highlight w:val="none"/>
        </w:rPr>
        <w:t xml:space="preserve"> </w:t>
      </w:r>
      <w:r>
        <w:rPr>
          <w:rFonts w:hint="eastAsia" w:ascii="宋体" w:hAnsi="宋体" w:cs="仿宋"/>
          <w:sz w:val="24"/>
          <w:highlight w:val="none"/>
        </w:rPr>
        <w:t>标书费发票开具请在谈判结果公告后联系代理机构申请（开票信息详见谈判文件格式附件</w:t>
      </w:r>
      <w:r>
        <w:rPr>
          <w:rFonts w:ascii="宋体" w:hAnsi="宋体" w:cs="仿宋"/>
          <w:sz w:val="24"/>
          <w:highlight w:val="none"/>
        </w:rPr>
        <w:t>“</w:t>
      </w:r>
      <w:r>
        <w:rPr>
          <w:rFonts w:hint="eastAsia" w:ascii="宋体" w:hAnsi="宋体" w:cs="仿宋"/>
          <w:sz w:val="24"/>
          <w:highlight w:val="none"/>
        </w:rPr>
        <w:t>开票信息</w:t>
      </w:r>
      <w:r>
        <w:rPr>
          <w:rFonts w:ascii="宋体" w:hAnsi="宋体" w:cs="仿宋"/>
          <w:sz w:val="24"/>
          <w:highlight w:val="none"/>
        </w:rPr>
        <w:t>”</w:t>
      </w:r>
      <w:r>
        <w:rPr>
          <w:rFonts w:hint="eastAsia" w:ascii="宋体" w:hAnsi="宋体" w:cs="仿宋"/>
          <w:sz w:val="24"/>
          <w:highlight w:val="none"/>
        </w:rPr>
        <w:t>）</w:t>
      </w:r>
    </w:p>
    <w:p>
      <w:pPr>
        <w:pStyle w:val="145"/>
        <w:ind w:firstLine="480" w:firstLineChars="0"/>
        <w:rPr>
          <w:rFonts w:ascii="宋体" w:hAnsi="宋体" w:cs="仿宋"/>
          <w:sz w:val="24"/>
          <w:highlight w:val="none"/>
        </w:rPr>
      </w:pPr>
      <w:r>
        <w:rPr>
          <w:rFonts w:hint="eastAsia" w:ascii="宋体" w:hAnsi="宋体" w:cs="仿宋"/>
          <w:sz w:val="24"/>
          <w:highlight w:val="none"/>
        </w:rPr>
        <w:t>2.平台注册、报名、缴费请咨询：028-86123300</w:t>
      </w:r>
    </w:p>
    <w:bookmarkEnd w:id="24"/>
    <w:p>
      <w:pPr>
        <w:spacing w:line="480" w:lineRule="exact"/>
        <w:ind w:right="480" w:firstLine="480" w:firstLineChars="200"/>
        <w:jc w:val="left"/>
        <w:rPr>
          <w:rFonts w:hint="eastAsia" w:ascii="宋体" w:hAnsi="宋体" w:eastAsia="宋体" w:cs="宋体"/>
          <w:sz w:val="24"/>
          <w:szCs w:val="24"/>
          <w:highlight w:val="none"/>
        </w:rPr>
      </w:pPr>
      <w:r>
        <w:rPr>
          <w:rFonts w:hint="eastAsia" w:cs="宋体"/>
          <w:i w:val="0"/>
          <w:iCs w:val="0"/>
          <w:caps w:val="0"/>
          <w:color w:val="000000"/>
          <w:spacing w:val="0"/>
          <w:sz w:val="24"/>
          <w:szCs w:val="24"/>
          <w:highlight w:val="none"/>
          <w:shd w:val="clear" w:color="auto" w:fill="FFFFFF"/>
          <w:lang w:val="en-US" w:eastAsia="zh-CN"/>
        </w:rPr>
        <w:t>3.</w:t>
      </w:r>
      <w:r>
        <w:rPr>
          <w:rFonts w:hint="eastAsia" w:ascii="宋体" w:hAnsi="宋体" w:eastAsia="宋体" w:cs="宋体"/>
          <w:i w:val="0"/>
          <w:iCs w:val="0"/>
          <w:caps w:val="0"/>
          <w:color w:val="000000"/>
          <w:spacing w:val="0"/>
          <w:sz w:val="24"/>
          <w:szCs w:val="24"/>
          <w:highlight w:val="none"/>
          <w:shd w:val="clear" w:color="auto" w:fill="FFFFFF"/>
        </w:rPr>
        <w:t>为切实筑牢疫情防控安全防线，确保招标投标工作有序进行，保障各方交易主体生命健康安全，近期所有需进入成都市高新区天府二街</w:t>
      </w:r>
      <w:r>
        <w:rPr>
          <w:rFonts w:hint="eastAsia" w:ascii="宋体" w:hAnsi="宋体" w:eastAsia="宋体" w:cs="宋体"/>
          <w:i w:val="0"/>
          <w:iCs w:val="0"/>
          <w:caps w:val="0"/>
          <w:color w:val="000000"/>
          <w:spacing w:val="0"/>
          <w:sz w:val="24"/>
          <w:szCs w:val="24"/>
          <w:highlight w:val="none"/>
        </w:rPr>
        <w:t>198</w:t>
      </w:r>
      <w:r>
        <w:rPr>
          <w:rFonts w:hint="eastAsia" w:ascii="宋体" w:hAnsi="宋体" w:eastAsia="宋体" w:cs="宋体"/>
          <w:i w:val="0"/>
          <w:iCs w:val="0"/>
          <w:caps w:val="0"/>
          <w:color w:val="000000"/>
          <w:spacing w:val="0"/>
          <w:sz w:val="24"/>
          <w:szCs w:val="24"/>
          <w:highlight w:val="none"/>
          <w:shd w:val="clear" w:color="auto" w:fill="FFFFFF"/>
        </w:rPr>
        <w:t>号</w:t>
      </w:r>
      <w:r>
        <w:rPr>
          <w:rFonts w:hint="eastAsia" w:ascii="宋体" w:hAnsi="宋体" w:eastAsia="宋体" w:cs="宋体"/>
          <w:i w:val="0"/>
          <w:iCs w:val="0"/>
          <w:caps w:val="0"/>
          <w:color w:val="000000"/>
          <w:spacing w:val="0"/>
          <w:sz w:val="24"/>
          <w:szCs w:val="24"/>
          <w:highlight w:val="none"/>
        </w:rPr>
        <w:t>1</w:t>
      </w:r>
      <w:r>
        <w:rPr>
          <w:rFonts w:hint="eastAsia" w:ascii="宋体" w:hAnsi="宋体" w:eastAsia="宋体" w:cs="宋体"/>
          <w:i w:val="0"/>
          <w:iCs w:val="0"/>
          <w:caps w:val="0"/>
          <w:color w:val="000000"/>
          <w:spacing w:val="0"/>
          <w:sz w:val="24"/>
          <w:szCs w:val="24"/>
          <w:highlight w:val="none"/>
          <w:shd w:val="clear" w:color="auto" w:fill="FFFFFF"/>
        </w:rPr>
        <w:t>楼西南联合产权交易所交易大厅</w:t>
      </w:r>
      <w:r>
        <w:rPr>
          <w:rFonts w:hint="eastAsia" w:ascii="宋体" w:hAnsi="宋体" w:eastAsia="宋体" w:cs="宋体"/>
          <w:i w:val="0"/>
          <w:iCs w:val="0"/>
          <w:caps w:val="0"/>
          <w:color w:val="000000"/>
          <w:spacing w:val="0"/>
          <w:sz w:val="24"/>
          <w:szCs w:val="24"/>
          <w:highlight w:val="none"/>
          <w:shd w:val="clear" w:color="auto" w:fill="FFFFFF"/>
          <w:lang w:eastAsia="zh-CN"/>
        </w:rPr>
        <w:t>或四川发展大厦</w:t>
      </w:r>
      <w:r>
        <w:rPr>
          <w:rFonts w:hint="eastAsia" w:ascii="宋体" w:hAnsi="宋体" w:eastAsia="宋体" w:cs="宋体"/>
          <w:i w:val="0"/>
          <w:iCs w:val="0"/>
          <w:caps w:val="0"/>
          <w:color w:val="000000"/>
          <w:spacing w:val="0"/>
          <w:sz w:val="24"/>
          <w:szCs w:val="24"/>
          <w:highlight w:val="none"/>
          <w:shd w:val="clear" w:color="auto" w:fill="FFFFFF"/>
        </w:rPr>
        <w:t>的人员（外省人员、中高风险地区人员暂不接待），需持</w:t>
      </w:r>
      <w:r>
        <w:rPr>
          <w:rFonts w:hint="eastAsia" w:cs="宋体"/>
          <w:i w:val="0"/>
          <w:iCs w:val="0"/>
          <w:caps w:val="0"/>
          <w:color w:val="000000"/>
          <w:spacing w:val="0"/>
          <w:sz w:val="24"/>
          <w:szCs w:val="24"/>
          <w:highlight w:val="none"/>
          <w:lang w:val="en-US" w:eastAsia="zh-CN"/>
        </w:rPr>
        <w:t>24</w:t>
      </w:r>
      <w:r>
        <w:rPr>
          <w:rFonts w:hint="eastAsia" w:ascii="宋体" w:hAnsi="宋体" w:eastAsia="宋体" w:cs="宋体"/>
          <w:i w:val="0"/>
          <w:iCs w:val="0"/>
          <w:caps w:val="0"/>
          <w:color w:val="000000"/>
          <w:spacing w:val="0"/>
          <w:sz w:val="24"/>
          <w:szCs w:val="24"/>
          <w:highlight w:val="none"/>
          <w:shd w:val="clear" w:color="auto" w:fill="FFFFFF"/>
        </w:rPr>
        <w:t>小时内核酸检测证明，扫场所码、出示通信大数据行程卡（二维码为黄色、红色，通信行程卡带星号均不能进入交易大厅），并配合做好登记、测温工作。投标人可授权委托来自低风险地区的投标代表（可以为非投标单位人员）参与投标。</w:t>
      </w:r>
    </w:p>
    <w:p>
      <w:pPr>
        <w:spacing w:line="360" w:lineRule="auto"/>
        <w:ind w:left="1080" w:leftChars="450"/>
        <w:rPr>
          <w:rFonts w:hint="eastAsia"/>
          <w:b/>
          <w:bCs/>
          <w:highlight w:val="none"/>
        </w:rPr>
      </w:pPr>
    </w:p>
    <w:p>
      <w:pPr>
        <w:rPr>
          <w:rFonts w:hint="eastAsia"/>
          <w:b/>
          <w:bCs/>
          <w:highlight w:val="none"/>
        </w:rPr>
      </w:pPr>
      <w:r>
        <w:rPr>
          <w:rFonts w:hint="eastAsia"/>
          <w:b/>
          <w:bCs/>
          <w:highlight w:val="none"/>
        </w:rPr>
        <w:br w:type="page"/>
      </w:r>
    </w:p>
    <w:p>
      <w:pPr>
        <w:spacing w:line="360" w:lineRule="auto"/>
        <w:ind w:left="1080" w:leftChars="450"/>
        <w:rPr>
          <w:b/>
          <w:bCs/>
          <w:highlight w:val="none"/>
        </w:rPr>
      </w:pPr>
      <w:r>
        <w:rPr>
          <w:rFonts w:hint="eastAsia"/>
          <w:b/>
          <w:bCs/>
          <w:highlight w:val="none"/>
        </w:rPr>
        <w:t>附件：开票信息</w:t>
      </w:r>
    </w:p>
    <w:p>
      <w:pPr>
        <w:pStyle w:val="13"/>
        <w:spacing w:line="360" w:lineRule="auto"/>
        <w:ind w:left="0" w:leftChars="0"/>
        <w:rPr>
          <w:rFonts w:ascii="宋体" w:hAnsi="宋体"/>
          <w:highlight w:val="none"/>
        </w:rPr>
      </w:pPr>
    </w:p>
    <w:p>
      <w:pPr>
        <w:spacing w:line="360" w:lineRule="auto"/>
        <w:jc w:val="center"/>
        <w:rPr>
          <w:b/>
          <w:bCs/>
          <w:highlight w:val="none"/>
        </w:rPr>
      </w:pPr>
      <w:r>
        <w:rPr>
          <w:rFonts w:hint="eastAsia"/>
          <w:b/>
          <w:bCs/>
          <w:highlight w:val="none"/>
        </w:rPr>
        <w:t>开 票 信 息</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开票项目名称</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开票项目编号</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开票单位</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纳税人识别号</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地址、电话</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开户行及账号</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发票类型（单击□选择）</w:t>
            </w:r>
          </w:p>
        </w:tc>
        <w:tc>
          <w:tcPr>
            <w:tcW w:w="6940" w:type="dxa"/>
            <w:shd w:val="clear" w:color="auto" w:fill="auto"/>
          </w:tcPr>
          <w:p>
            <w:pPr>
              <w:spacing w:line="360" w:lineRule="auto"/>
              <w:rPr>
                <w:highlight w:val="none"/>
              </w:rPr>
            </w:pPr>
            <w:r>
              <w:rPr>
                <w:rFonts w:ascii="Segoe UI Symbol" w:hAnsi="Segoe UI Symbol" w:cs="Segoe UI Symbol"/>
                <w:highlight w:val="none"/>
              </w:rPr>
              <w:t>☐</w:t>
            </w:r>
            <w:r>
              <w:rPr>
                <w:rFonts w:hint="eastAsia"/>
                <w:highlight w:val="none"/>
              </w:rPr>
              <w:t>增值税普通电子发票 █增值税专用发票</w:t>
            </w:r>
          </w:p>
          <w:p>
            <w:pPr>
              <w:pStyle w:val="13"/>
              <w:spacing w:line="360" w:lineRule="auto"/>
              <w:ind w:left="0" w:leftChars="0"/>
              <w:rPr>
                <w:rFonts w:ascii="宋体" w:hAnsi="宋体"/>
                <w:b/>
                <w:bCs/>
                <w:highlight w:val="none"/>
              </w:rPr>
            </w:pPr>
            <w:r>
              <w:rPr>
                <w:rFonts w:hint="eastAsia" w:ascii="宋体" w:hAnsi="宋体"/>
                <w:b/>
                <w:bCs/>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邮寄地址、联系人、电话</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联系人邮箱</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开票金额（人民币）</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费用到账时间</w:t>
            </w:r>
          </w:p>
        </w:tc>
        <w:tc>
          <w:tcPr>
            <w:tcW w:w="6940" w:type="dxa"/>
            <w:shd w:val="clear" w:color="auto" w:fill="auto"/>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360" w:lineRule="auto"/>
              <w:rPr>
                <w:highlight w:val="none"/>
              </w:rPr>
            </w:pPr>
            <w:r>
              <w:rPr>
                <w:rFonts w:hint="eastAsia"/>
                <w:highlight w:val="none"/>
              </w:rPr>
              <w:t>发票申请人姓名、手机号</w:t>
            </w:r>
          </w:p>
        </w:tc>
        <w:tc>
          <w:tcPr>
            <w:tcW w:w="6940" w:type="dxa"/>
            <w:shd w:val="clear" w:color="auto" w:fill="auto"/>
          </w:tcPr>
          <w:p>
            <w:pPr>
              <w:spacing w:line="360" w:lineRule="auto"/>
              <w:rPr>
                <w:highlight w:val="none"/>
              </w:rPr>
            </w:pPr>
          </w:p>
        </w:tc>
      </w:tr>
    </w:tbl>
    <w:p>
      <w:pPr>
        <w:spacing w:line="360" w:lineRule="auto"/>
        <w:rPr>
          <w:highlight w:val="none"/>
        </w:rPr>
      </w:pPr>
      <w:r>
        <w:rPr>
          <w:rFonts w:hint="eastAsia"/>
          <w:highlight w:val="none"/>
        </w:rPr>
        <w:t>附：费用付款凭证截图</w:t>
      </w:r>
    </w:p>
    <w:p>
      <w:pPr>
        <w:pStyle w:val="13"/>
        <w:spacing w:line="360" w:lineRule="auto"/>
        <w:ind w:left="0" w:leftChars="0"/>
        <w:rPr>
          <w:rFonts w:ascii="宋体" w:hAnsi="宋体"/>
          <w:highlight w:val="none"/>
        </w:rPr>
      </w:pPr>
    </w:p>
    <w:p>
      <w:pPr>
        <w:pStyle w:val="13"/>
        <w:spacing w:line="360" w:lineRule="auto"/>
        <w:ind w:left="0" w:leftChars="0"/>
        <w:rPr>
          <w:rFonts w:ascii="宋体" w:hAnsi="宋体"/>
          <w:b/>
          <w:bCs/>
          <w:highlight w:val="none"/>
        </w:rPr>
      </w:pPr>
      <w:r>
        <w:rPr>
          <w:rFonts w:hint="eastAsia" w:ascii="宋体" w:hAnsi="宋体"/>
          <w:b/>
          <w:bCs/>
          <w:highlight w:val="none"/>
        </w:rPr>
        <w:t>注：若供应商需要谈判文件费用发票的须填写以上开票信息表，待项目开标结束后向代理机构工作人员索要邮箱地址，并发送至代理机构工作人员邮箱。</w:t>
      </w:r>
    </w:p>
    <w:p>
      <w:pPr>
        <w:spacing w:line="360" w:lineRule="auto"/>
        <w:ind w:firstLine="480"/>
        <w:rPr>
          <w:rFonts w:cs="仿宋"/>
          <w:highlight w:val="none"/>
        </w:rPr>
      </w:pPr>
      <w:r>
        <w:rPr>
          <w:rFonts w:hint="eastAsia" w:cs="仿宋"/>
          <w:highlight w:val="none"/>
        </w:rPr>
        <w:br w:type="page"/>
      </w:r>
    </w:p>
    <w:p>
      <w:pPr>
        <w:pStyle w:val="40"/>
        <w:numPr>
          <w:ilvl w:val="0"/>
          <w:numId w:val="1"/>
        </w:numPr>
        <w:spacing w:line="360" w:lineRule="auto"/>
        <w:ind w:firstLine="480"/>
        <w:rPr>
          <w:rFonts w:ascii="宋体" w:hAnsi="宋体" w:cs="仿宋"/>
          <w:highlight w:val="none"/>
        </w:rPr>
      </w:pPr>
      <w:bookmarkStart w:id="25" w:name="_Toc30960"/>
      <w:bookmarkStart w:id="26" w:name="_Toc428"/>
      <w:bookmarkStart w:id="27" w:name="_Toc98423926"/>
      <w:r>
        <w:rPr>
          <w:rFonts w:hint="eastAsia" w:ascii="宋体" w:hAnsi="宋体" w:cs="仿宋"/>
          <w:highlight w:val="none"/>
        </w:rPr>
        <w:t>谈判须知</w:t>
      </w:r>
      <w:bookmarkEnd w:id="17"/>
      <w:bookmarkEnd w:id="18"/>
      <w:bookmarkEnd w:id="19"/>
      <w:bookmarkEnd w:id="20"/>
      <w:bookmarkEnd w:id="21"/>
      <w:bookmarkEnd w:id="22"/>
      <w:bookmarkEnd w:id="23"/>
      <w:bookmarkEnd w:id="25"/>
      <w:bookmarkEnd w:id="26"/>
      <w:bookmarkEnd w:id="27"/>
    </w:p>
    <w:p>
      <w:pPr>
        <w:pStyle w:val="4"/>
        <w:keepNext w:val="0"/>
        <w:keepLines w:val="0"/>
        <w:numPr>
          <w:ilvl w:val="0"/>
          <w:numId w:val="2"/>
        </w:numPr>
        <w:spacing w:line="360" w:lineRule="auto"/>
        <w:rPr>
          <w:rFonts w:ascii="宋体" w:hAnsi="宋体" w:eastAsia="宋体"/>
          <w:highlight w:val="none"/>
        </w:rPr>
      </w:pPr>
      <w:r>
        <w:rPr>
          <w:rFonts w:hint="eastAsia" w:ascii="宋体" w:hAnsi="宋体" w:eastAsia="宋体" w:cs="仿宋"/>
          <w:highlight w:val="none"/>
        </w:rPr>
        <w:t>供应商须知附表</w:t>
      </w:r>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151"/>
              <w:spacing w:line="360" w:lineRule="auto"/>
              <w:ind w:left="9"/>
              <w:jc w:val="center"/>
              <w:rPr>
                <w:rFonts w:cs="Times New Roman"/>
                <w:highlight w:val="none"/>
                <w:lang w:val="zh-CN"/>
              </w:rPr>
            </w:pPr>
            <w:r>
              <w:rPr>
                <w:rFonts w:hint="eastAsia" w:cs="仿宋"/>
                <w:highlight w:val="none"/>
                <w:lang w:val="zh-CN"/>
              </w:rPr>
              <w:t>序号</w:t>
            </w:r>
          </w:p>
        </w:tc>
        <w:tc>
          <w:tcPr>
            <w:tcW w:w="2409" w:type="dxa"/>
            <w:tcBorders>
              <w:top w:val="single" w:color="auto" w:sz="18" w:space="0"/>
            </w:tcBorders>
            <w:vAlign w:val="center"/>
          </w:tcPr>
          <w:p>
            <w:pPr>
              <w:pStyle w:val="151"/>
              <w:spacing w:line="360" w:lineRule="auto"/>
              <w:ind w:left="38"/>
              <w:jc w:val="center"/>
              <w:rPr>
                <w:rFonts w:cs="Times New Roman"/>
                <w:highlight w:val="none"/>
                <w:lang w:val="zh-CN"/>
              </w:rPr>
            </w:pPr>
            <w:r>
              <w:rPr>
                <w:rFonts w:hint="eastAsia" w:cs="仿宋"/>
                <w:highlight w:val="none"/>
                <w:lang w:val="zh-CN"/>
              </w:rPr>
              <w:t>应知事项</w:t>
            </w:r>
          </w:p>
        </w:tc>
        <w:tc>
          <w:tcPr>
            <w:tcW w:w="6084" w:type="dxa"/>
            <w:tcBorders>
              <w:top w:val="single" w:color="auto" w:sz="18" w:space="0"/>
            </w:tcBorders>
            <w:vAlign w:val="center"/>
          </w:tcPr>
          <w:p>
            <w:pPr>
              <w:pStyle w:val="151"/>
              <w:spacing w:line="360" w:lineRule="auto"/>
              <w:jc w:val="center"/>
              <w:rPr>
                <w:rFonts w:cs="Times New Roman"/>
                <w:highlight w:val="none"/>
                <w:lang w:val="zh-CN"/>
              </w:rPr>
            </w:pPr>
            <w:r>
              <w:rPr>
                <w:rFonts w:hint="eastAsia" w:cs="仿宋"/>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151"/>
              <w:spacing w:line="360" w:lineRule="auto"/>
              <w:ind w:right="230"/>
              <w:jc w:val="center"/>
              <w:rPr>
                <w:rFonts w:cs="仿宋"/>
                <w:highlight w:val="none"/>
                <w:lang w:val="zh-CN"/>
              </w:rPr>
            </w:pPr>
            <w:r>
              <w:rPr>
                <w:rFonts w:hint="eastAsia" w:cs="仿宋"/>
                <w:highlight w:val="none"/>
              </w:rPr>
              <w:t>1</w:t>
            </w:r>
          </w:p>
        </w:tc>
        <w:tc>
          <w:tcPr>
            <w:tcW w:w="2409" w:type="dxa"/>
            <w:tcBorders>
              <w:top w:val="single" w:color="auto" w:sz="4" w:space="0"/>
            </w:tcBorders>
            <w:vAlign w:val="center"/>
          </w:tcPr>
          <w:p>
            <w:pPr>
              <w:pStyle w:val="151"/>
              <w:spacing w:line="360" w:lineRule="auto"/>
              <w:ind w:left="38"/>
              <w:jc w:val="center"/>
              <w:rPr>
                <w:rFonts w:cs="Times New Roman"/>
                <w:highlight w:val="none"/>
                <w:lang w:val="zh-CN"/>
              </w:rPr>
            </w:pPr>
            <w:r>
              <w:rPr>
                <w:rFonts w:hint="eastAsia" w:cs="仿宋"/>
                <w:highlight w:val="none"/>
                <w:lang w:val="zh-CN"/>
              </w:rPr>
              <w:t>采购预算</w:t>
            </w:r>
          </w:p>
          <w:p>
            <w:pPr>
              <w:pStyle w:val="151"/>
              <w:spacing w:line="360" w:lineRule="auto"/>
              <w:ind w:left="38"/>
              <w:jc w:val="center"/>
              <w:rPr>
                <w:rFonts w:cs="Times New Roman"/>
                <w:b/>
                <w:highlight w:val="none"/>
                <w:lang w:val="zh-CN"/>
              </w:rPr>
            </w:pPr>
            <w:r>
              <w:rPr>
                <w:rFonts w:hint="eastAsia" w:cs="仿宋"/>
                <w:b/>
                <w:highlight w:val="none"/>
                <w:lang w:val="zh-CN"/>
              </w:rPr>
              <w:t>（实质性要求）</w:t>
            </w:r>
          </w:p>
        </w:tc>
        <w:tc>
          <w:tcPr>
            <w:tcW w:w="6084" w:type="dxa"/>
            <w:tcBorders>
              <w:top w:val="single" w:color="auto" w:sz="4" w:space="0"/>
            </w:tcBorders>
          </w:tcPr>
          <w:p>
            <w:pPr>
              <w:pStyle w:val="151"/>
              <w:spacing w:line="360" w:lineRule="auto"/>
              <w:jc w:val="both"/>
              <w:rPr>
                <w:rFonts w:cs="仿宋"/>
                <w:highlight w:val="none"/>
              </w:rPr>
            </w:pPr>
            <w:bookmarkStart w:id="28" w:name="PO_预算分包信息_1"/>
            <w:r>
              <w:rPr>
                <w:rFonts w:hint="eastAsia" w:cs="仿宋"/>
                <w:highlight w:val="none"/>
                <w:lang w:val="zh-CN"/>
              </w:rPr>
              <w:t>预算金额（人民币）</w:t>
            </w:r>
            <w:bookmarkStart w:id="29" w:name="_Hlk95123051"/>
            <w:r>
              <w:rPr>
                <w:rFonts w:hint="eastAsia"/>
                <w:color w:val="111111"/>
                <w:highlight w:val="none"/>
                <w:u w:val="single"/>
                <w:shd w:val="clear" w:color="auto" w:fill="FFFFFF"/>
                <w:lang w:eastAsia="zh-CN"/>
              </w:rPr>
              <w:t>684545</w:t>
            </w:r>
            <w:r>
              <w:rPr>
                <w:rFonts w:hint="eastAsia" w:cs="仿宋"/>
                <w:highlight w:val="none"/>
              </w:rPr>
              <w:t>元</w:t>
            </w:r>
            <w:bookmarkEnd w:id="28"/>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4"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2</w:t>
            </w:r>
          </w:p>
        </w:tc>
        <w:tc>
          <w:tcPr>
            <w:tcW w:w="2409" w:type="dxa"/>
            <w:vAlign w:val="center"/>
          </w:tcPr>
          <w:p>
            <w:pPr>
              <w:pStyle w:val="151"/>
              <w:spacing w:line="360" w:lineRule="auto"/>
              <w:ind w:left="38"/>
              <w:jc w:val="center"/>
              <w:rPr>
                <w:rFonts w:cs="Times New Roman"/>
                <w:highlight w:val="none"/>
                <w:lang w:val="zh-CN"/>
              </w:rPr>
            </w:pPr>
            <w:r>
              <w:rPr>
                <w:rFonts w:hint="eastAsia" w:cs="仿宋"/>
                <w:highlight w:val="none"/>
                <w:lang w:val="zh-CN"/>
              </w:rPr>
              <w:t>最高限价</w:t>
            </w:r>
          </w:p>
          <w:p>
            <w:pPr>
              <w:pStyle w:val="151"/>
              <w:spacing w:line="360" w:lineRule="auto"/>
              <w:ind w:left="38"/>
              <w:jc w:val="center"/>
              <w:rPr>
                <w:rFonts w:cs="Times New Roman"/>
                <w:b/>
                <w:highlight w:val="none"/>
                <w:lang w:val="zh-CN"/>
              </w:rPr>
            </w:pPr>
            <w:r>
              <w:rPr>
                <w:rFonts w:hint="eastAsia" w:cs="仿宋"/>
                <w:b/>
                <w:highlight w:val="none"/>
                <w:lang w:val="zh-CN"/>
              </w:rPr>
              <w:t>（实质性要求）</w:t>
            </w:r>
          </w:p>
        </w:tc>
        <w:tc>
          <w:tcPr>
            <w:tcW w:w="6084" w:type="dxa"/>
            <w:vAlign w:val="center"/>
          </w:tcPr>
          <w:p>
            <w:pPr>
              <w:pStyle w:val="151"/>
              <w:spacing w:line="360" w:lineRule="auto"/>
              <w:jc w:val="both"/>
              <w:rPr>
                <w:rFonts w:cs="仿宋"/>
                <w:highlight w:val="none"/>
              </w:rPr>
            </w:pPr>
            <w:bookmarkStart w:id="30" w:name="PO_限价分包信息_1"/>
            <w:r>
              <w:rPr>
                <w:rFonts w:hint="eastAsia" w:cs="仿宋"/>
                <w:highlight w:val="none"/>
                <w:lang w:val="zh-CN"/>
              </w:rPr>
              <w:t>最高限价（人民币）</w:t>
            </w:r>
            <w:r>
              <w:rPr>
                <w:rFonts w:hint="eastAsia"/>
                <w:color w:val="111111"/>
                <w:highlight w:val="none"/>
                <w:u w:val="single"/>
                <w:shd w:val="clear" w:color="auto" w:fill="FFFFFF"/>
                <w:lang w:eastAsia="zh-CN"/>
              </w:rPr>
              <w:t>684545</w:t>
            </w:r>
            <w:r>
              <w:rPr>
                <w:rFonts w:hint="eastAsia" w:cs="仿宋"/>
                <w:highlight w:val="none"/>
              </w:rPr>
              <w:t>元</w:t>
            </w:r>
          </w:p>
          <w:bookmarkEnd w:id="30"/>
          <w:p>
            <w:pPr>
              <w:pStyle w:val="151"/>
              <w:spacing w:line="360" w:lineRule="auto"/>
              <w:jc w:val="both"/>
              <w:rPr>
                <w:rFonts w:cs="Times New Roman"/>
                <w:highlight w:val="none"/>
                <w:lang w:val="zh-CN"/>
              </w:rPr>
            </w:pPr>
            <w:bookmarkStart w:id="31" w:name="PO_默认文件内容_8"/>
            <w:r>
              <w:rPr>
                <w:rFonts w:hint="eastAsia" w:cs="仿宋"/>
                <w:highlight w:val="none"/>
                <w:lang w:val="zh-CN"/>
              </w:rPr>
              <w:t>报价超过最高限价,其响应文件按无效处理。</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3</w:t>
            </w:r>
          </w:p>
        </w:tc>
        <w:tc>
          <w:tcPr>
            <w:tcW w:w="2409" w:type="dxa"/>
            <w:vAlign w:val="center"/>
          </w:tcPr>
          <w:p>
            <w:pPr>
              <w:pStyle w:val="151"/>
              <w:spacing w:line="360" w:lineRule="auto"/>
              <w:ind w:left="38"/>
              <w:jc w:val="center"/>
              <w:rPr>
                <w:rFonts w:cs="仿宋"/>
                <w:b/>
                <w:highlight w:val="none"/>
              </w:rPr>
            </w:pPr>
            <w:r>
              <w:rPr>
                <w:rFonts w:hint="eastAsia" w:cs="仿宋"/>
                <w:b/>
                <w:highlight w:val="none"/>
              </w:rPr>
              <w:t>项目名称</w:t>
            </w:r>
          </w:p>
        </w:tc>
        <w:tc>
          <w:tcPr>
            <w:tcW w:w="6084" w:type="dxa"/>
            <w:vAlign w:val="center"/>
          </w:tcPr>
          <w:p>
            <w:pPr>
              <w:pStyle w:val="151"/>
              <w:spacing w:line="360" w:lineRule="auto"/>
              <w:jc w:val="both"/>
              <w:rPr>
                <w:rFonts w:cs="仿宋"/>
                <w:highlight w:val="none"/>
              </w:rPr>
            </w:pPr>
            <w:r>
              <w:rPr>
                <w:rFonts w:hint="eastAsia" w:cs="仿宋"/>
                <w:highlight w:val="none"/>
              </w:rPr>
              <w:t>星悦城二次供水成套设备供应和安装工程项目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4</w:t>
            </w:r>
          </w:p>
        </w:tc>
        <w:tc>
          <w:tcPr>
            <w:tcW w:w="2409" w:type="dxa"/>
            <w:vAlign w:val="center"/>
          </w:tcPr>
          <w:p>
            <w:pPr>
              <w:pStyle w:val="151"/>
              <w:spacing w:line="360" w:lineRule="auto"/>
              <w:ind w:left="38"/>
              <w:jc w:val="center"/>
              <w:rPr>
                <w:rFonts w:cs="仿宋"/>
                <w:b/>
                <w:highlight w:val="none"/>
              </w:rPr>
            </w:pPr>
            <w:r>
              <w:rPr>
                <w:rFonts w:hint="eastAsia" w:cs="仿宋"/>
                <w:b/>
                <w:highlight w:val="none"/>
              </w:rPr>
              <w:t>项目编号</w:t>
            </w:r>
          </w:p>
        </w:tc>
        <w:tc>
          <w:tcPr>
            <w:tcW w:w="6084" w:type="dxa"/>
            <w:vAlign w:val="center"/>
          </w:tcPr>
          <w:p>
            <w:pPr>
              <w:pStyle w:val="151"/>
              <w:spacing w:line="360" w:lineRule="auto"/>
              <w:ind w:firstLine="360" w:firstLineChars="150"/>
              <w:jc w:val="both"/>
              <w:rPr>
                <w:rFonts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5</w:t>
            </w:r>
          </w:p>
        </w:tc>
        <w:tc>
          <w:tcPr>
            <w:tcW w:w="2409" w:type="dxa"/>
            <w:vAlign w:val="center"/>
          </w:tcPr>
          <w:p>
            <w:pPr>
              <w:pStyle w:val="151"/>
              <w:spacing w:line="360" w:lineRule="auto"/>
              <w:ind w:left="38"/>
              <w:jc w:val="center"/>
              <w:rPr>
                <w:rFonts w:cs="仿宋"/>
                <w:b/>
                <w:highlight w:val="none"/>
              </w:rPr>
            </w:pPr>
            <w:r>
              <w:rPr>
                <w:rFonts w:hint="eastAsia" w:cs="仿宋"/>
                <w:b/>
                <w:highlight w:val="none"/>
              </w:rPr>
              <w:t>现场勘查</w:t>
            </w:r>
          </w:p>
        </w:tc>
        <w:tc>
          <w:tcPr>
            <w:tcW w:w="6084" w:type="dxa"/>
            <w:vAlign w:val="center"/>
          </w:tcPr>
          <w:p>
            <w:pPr>
              <w:pStyle w:val="151"/>
              <w:spacing w:line="360" w:lineRule="auto"/>
              <w:jc w:val="both"/>
              <w:rPr>
                <w:rFonts w:cs="仿宋"/>
                <w:highlight w:val="none"/>
              </w:rPr>
            </w:pPr>
            <w:r>
              <w:rPr>
                <w:rFonts w:hint="eastAsia" w:cs="仿宋"/>
                <w:highlight w:val="none"/>
              </w:rPr>
              <w:t>供应商自行勘查。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6</w:t>
            </w:r>
          </w:p>
        </w:tc>
        <w:tc>
          <w:tcPr>
            <w:tcW w:w="2409" w:type="dxa"/>
            <w:vAlign w:val="center"/>
          </w:tcPr>
          <w:p>
            <w:pPr>
              <w:pStyle w:val="151"/>
              <w:spacing w:line="360" w:lineRule="auto"/>
              <w:ind w:left="38"/>
              <w:jc w:val="center"/>
              <w:rPr>
                <w:rFonts w:cs="仿宋"/>
                <w:b/>
                <w:highlight w:val="none"/>
              </w:rPr>
            </w:pPr>
            <w:r>
              <w:rPr>
                <w:rFonts w:hint="eastAsia" w:cs="仿宋"/>
                <w:b/>
                <w:highlight w:val="none"/>
              </w:rPr>
              <w:t>联合体（实质性要求）</w:t>
            </w:r>
          </w:p>
        </w:tc>
        <w:tc>
          <w:tcPr>
            <w:tcW w:w="6084" w:type="dxa"/>
            <w:vAlign w:val="center"/>
          </w:tcPr>
          <w:p>
            <w:pPr>
              <w:pStyle w:val="151"/>
              <w:spacing w:line="360" w:lineRule="auto"/>
              <w:jc w:val="both"/>
              <w:rPr>
                <w:rFonts w:cs="仿宋"/>
                <w:highlight w:val="none"/>
              </w:rPr>
            </w:pPr>
            <w:r>
              <w:rPr>
                <w:rFonts w:hint="eastAsia" w:cs="仿宋"/>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7</w:t>
            </w:r>
          </w:p>
        </w:tc>
        <w:tc>
          <w:tcPr>
            <w:tcW w:w="2409" w:type="dxa"/>
            <w:vAlign w:val="center"/>
          </w:tcPr>
          <w:p>
            <w:pPr>
              <w:pStyle w:val="151"/>
              <w:spacing w:line="360" w:lineRule="auto"/>
              <w:ind w:left="38"/>
              <w:jc w:val="center"/>
              <w:rPr>
                <w:rFonts w:cs="仿宋"/>
                <w:b/>
                <w:highlight w:val="none"/>
              </w:rPr>
            </w:pPr>
            <w:r>
              <w:rPr>
                <w:rFonts w:hint="eastAsia" w:cs="仿宋"/>
                <w:b/>
                <w:highlight w:val="none"/>
              </w:rPr>
              <w:t>评审办法</w:t>
            </w:r>
          </w:p>
        </w:tc>
        <w:tc>
          <w:tcPr>
            <w:tcW w:w="6084" w:type="dxa"/>
            <w:vAlign w:val="center"/>
          </w:tcPr>
          <w:p>
            <w:pPr>
              <w:pStyle w:val="151"/>
              <w:spacing w:line="360" w:lineRule="auto"/>
              <w:jc w:val="both"/>
              <w:rPr>
                <w:rFonts w:cs="仿宋"/>
                <w:highlight w:val="none"/>
              </w:rPr>
            </w:pPr>
            <w:r>
              <w:rPr>
                <w:rFonts w:hint="eastAsia" w:cs="仿宋"/>
                <w:highlight w:val="none"/>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8</w:t>
            </w:r>
          </w:p>
        </w:tc>
        <w:tc>
          <w:tcPr>
            <w:tcW w:w="2409" w:type="dxa"/>
            <w:vAlign w:val="center"/>
          </w:tcPr>
          <w:p>
            <w:pPr>
              <w:pStyle w:val="151"/>
              <w:spacing w:line="360" w:lineRule="auto"/>
              <w:ind w:left="38"/>
              <w:jc w:val="center"/>
              <w:rPr>
                <w:rFonts w:cs="Times New Roman"/>
                <w:highlight w:val="none"/>
              </w:rPr>
            </w:pPr>
            <w:r>
              <w:rPr>
                <w:rFonts w:hint="eastAsia" w:cs="仿宋"/>
                <w:highlight w:val="none"/>
              </w:rPr>
              <w:t>不正当竞争预防措施</w:t>
            </w:r>
          </w:p>
          <w:p>
            <w:pPr>
              <w:pStyle w:val="151"/>
              <w:spacing w:line="360" w:lineRule="auto"/>
              <w:ind w:left="38"/>
              <w:jc w:val="center"/>
              <w:rPr>
                <w:rFonts w:cs="Times New Roman"/>
                <w:b/>
                <w:highlight w:val="none"/>
              </w:rPr>
            </w:pPr>
            <w:r>
              <w:rPr>
                <w:rFonts w:hint="eastAsia" w:cs="仿宋"/>
                <w:b/>
                <w:highlight w:val="none"/>
              </w:rPr>
              <w:t>（实质性要求）</w:t>
            </w:r>
          </w:p>
        </w:tc>
        <w:tc>
          <w:tcPr>
            <w:tcW w:w="6084" w:type="dxa"/>
            <w:vAlign w:val="center"/>
          </w:tcPr>
          <w:p>
            <w:pPr>
              <w:pStyle w:val="151"/>
              <w:spacing w:line="360" w:lineRule="auto"/>
              <w:jc w:val="both"/>
              <w:rPr>
                <w:rFonts w:cs="仿宋"/>
                <w:highlight w:val="none"/>
                <w:lang w:val="zh-CN"/>
              </w:rPr>
            </w:pPr>
            <w:r>
              <w:rPr>
                <w:rFonts w:hint="eastAsia" w:cs="仿宋"/>
                <w:highlight w:val="none"/>
                <w:lang w:val="zh-CN"/>
              </w:rPr>
              <w:t>评标过程中，评审委员会发现供应商报价明显低于其他报价，使其响应报价可能低于成本价，应要求供应商书面说明并提供相关证明材料，供应商不能合理说明或者不能提供有关证明材料的，由评审委员会认定该供应商以低于成本价响应，其响应应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9</w:t>
            </w:r>
          </w:p>
          <w:p>
            <w:pPr>
              <w:pStyle w:val="151"/>
              <w:spacing w:line="360" w:lineRule="auto"/>
              <w:ind w:right="230"/>
              <w:jc w:val="center"/>
              <w:rPr>
                <w:rFonts w:cs="仿宋"/>
                <w:highlight w:val="none"/>
                <w:lang w:val="zh-CN"/>
              </w:rPr>
            </w:pPr>
          </w:p>
        </w:tc>
        <w:tc>
          <w:tcPr>
            <w:tcW w:w="2409" w:type="dxa"/>
            <w:vAlign w:val="center"/>
          </w:tcPr>
          <w:p>
            <w:pPr>
              <w:spacing w:line="360" w:lineRule="auto"/>
              <w:jc w:val="center"/>
              <w:rPr>
                <w:rFonts w:cs="仿宋"/>
                <w:highlight w:val="none"/>
                <w:lang w:val="zh-CN"/>
              </w:rPr>
            </w:pPr>
            <w:r>
              <w:rPr>
                <w:rFonts w:hint="eastAsia" w:cs="仿宋"/>
                <w:highlight w:val="none"/>
                <w:lang w:val="zh-CN"/>
              </w:rPr>
              <w:t>供应商资质条件、能力和信誉</w:t>
            </w:r>
          </w:p>
        </w:tc>
        <w:tc>
          <w:tcPr>
            <w:tcW w:w="6084" w:type="dxa"/>
            <w:vAlign w:val="center"/>
          </w:tcPr>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1.具有独立承担民事责任的能力；</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2.具有良好的商业信誉和健全的财务会计制度；</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3.具有履行合同所必须的设备和专业技术能力；</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4.具有依法缴纳税收和社会保障资金的良好记录；</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5.参加本次采购活动前三年内，在经营活动中没有重大违法记录；</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6.法律、行政法规规定的其他条件；</w:t>
            </w:r>
          </w:p>
          <w:p>
            <w:pPr>
              <w:pStyle w:val="145"/>
              <w:adjustRightInd w:val="0"/>
              <w:snapToGrid w:val="0"/>
              <w:ind w:firstLine="480"/>
              <w:rPr>
                <w:rFonts w:ascii="宋体" w:hAnsi="宋体" w:cs="仿宋"/>
                <w:sz w:val="24"/>
                <w:szCs w:val="24"/>
                <w:highlight w:val="none"/>
              </w:rPr>
            </w:pPr>
            <w:r>
              <w:rPr>
                <w:rFonts w:ascii="宋体" w:hAnsi="宋体" w:cs="仿宋"/>
                <w:sz w:val="24"/>
                <w:szCs w:val="24"/>
                <w:highlight w:val="none"/>
              </w:rPr>
              <w:t>7.采购人根据采购项目提出的特殊条件</w:t>
            </w:r>
            <w:r>
              <w:rPr>
                <w:rFonts w:hint="eastAsia" w:ascii="宋体" w:hAnsi="宋体" w:cs="仿宋"/>
                <w:sz w:val="24"/>
                <w:szCs w:val="24"/>
                <w:highlight w:val="none"/>
              </w:rPr>
              <w:t>：</w:t>
            </w:r>
          </w:p>
          <w:p>
            <w:pPr>
              <w:pStyle w:val="145"/>
              <w:adjustRightInd w:val="0"/>
              <w:snapToGrid w:val="0"/>
              <w:ind w:firstLine="48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.1</w:t>
            </w:r>
            <w:r>
              <w:rPr>
                <w:rFonts w:hint="eastAsia" w:ascii="宋体" w:hAnsi="宋体" w:cs="仿宋"/>
                <w:sz w:val="24"/>
                <w:szCs w:val="24"/>
                <w:highlight w:val="none"/>
              </w:rPr>
              <w:t>供应商所提供不锈钢管材必须具有省级及以上卫生部门颁发国产涉及饮用水卫生安全产品卫生许可批件。</w:t>
            </w:r>
          </w:p>
          <w:p>
            <w:pPr>
              <w:pStyle w:val="145"/>
              <w:adjustRightInd w:val="0"/>
              <w:snapToGrid w:val="0"/>
              <w:ind w:firstLine="48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.2</w:t>
            </w:r>
            <w:r>
              <w:rPr>
                <w:rFonts w:hint="eastAsia" w:ascii="宋体" w:hAnsi="宋体" w:cs="仿宋"/>
                <w:sz w:val="24"/>
                <w:szCs w:val="24"/>
                <w:highlight w:val="none"/>
              </w:rPr>
              <w:t>供应商单位及其现任法定代表人、主要负责人</w:t>
            </w:r>
            <w:r>
              <w:rPr>
                <w:rFonts w:hint="eastAsia" w:ascii="宋体" w:hAnsi="宋体"/>
                <w:color w:val="000000"/>
                <w:sz w:val="24"/>
                <w:highlight w:val="none"/>
              </w:rPr>
              <w:t>参加本次采购活动前三年内</w:t>
            </w:r>
            <w:r>
              <w:rPr>
                <w:rFonts w:hint="eastAsia" w:ascii="宋体" w:hAnsi="宋体" w:cs="仿宋"/>
                <w:sz w:val="24"/>
                <w:szCs w:val="24"/>
                <w:highlight w:val="none"/>
              </w:rPr>
              <w:t>无行贿犯罪记录。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jc w:val="center"/>
        </w:trPr>
        <w:tc>
          <w:tcPr>
            <w:tcW w:w="1013" w:type="dxa"/>
            <w:vAlign w:val="center"/>
          </w:tcPr>
          <w:p>
            <w:pPr>
              <w:pStyle w:val="151"/>
              <w:spacing w:line="360" w:lineRule="auto"/>
              <w:ind w:right="230"/>
              <w:jc w:val="center"/>
              <w:rPr>
                <w:rFonts w:cs="Times New Roman"/>
                <w:highlight w:val="none"/>
              </w:rPr>
            </w:pPr>
            <w:r>
              <w:rPr>
                <w:rFonts w:hint="eastAsia" w:cs="Times New Roman"/>
                <w:highlight w:val="none"/>
              </w:rPr>
              <w:t>10</w:t>
            </w:r>
          </w:p>
        </w:tc>
        <w:tc>
          <w:tcPr>
            <w:tcW w:w="2409" w:type="dxa"/>
            <w:vAlign w:val="center"/>
          </w:tcPr>
          <w:p>
            <w:pPr>
              <w:pStyle w:val="151"/>
              <w:spacing w:line="360" w:lineRule="auto"/>
              <w:ind w:left="38"/>
              <w:jc w:val="center"/>
              <w:rPr>
                <w:rFonts w:cs="仿宋"/>
                <w:highlight w:val="none"/>
                <w:lang w:val="zh-CN"/>
              </w:rPr>
            </w:pPr>
            <w:r>
              <w:rPr>
                <w:rFonts w:hint="eastAsia" w:cs="仿宋"/>
                <w:highlight w:val="none"/>
                <w:lang w:val="zh-CN"/>
              </w:rPr>
              <w:t>谈判保证金</w:t>
            </w:r>
            <w:r>
              <w:rPr>
                <w:rFonts w:hint="eastAsia" w:cs="仿宋"/>
                <w:b/>
                <w:highlight w:val="none"/>
              </w:rPr>
              <w:t>（实质性要求）</w:t>
            </w:r>
          </w:p>
        </w:tc>
        <w:tc>
          <w:tcPr>
            <w:tcW w:w="6084" w:type="dxa"/>
            <w:vAlign w:val="center"/>
          </w:tcPr>
          <w:p>
            <w:pPr>
              <w:pStyle w:val="151"/>
              <w:spacing w:line="360" w:lineRule="auto"/>
              <w:ind w:firstLine="240" w:firstLineChars="100"/>
              <w:rPr>
                <w:rFonts w:cs="仿宋"/>
                <w:highlight w:val="none"/>
                <w:lang w:val="zh-CN"/>
              </w:rPr>
            </w:pPr>
            <w:r>
              <w:rPr>
                <w:rFonts w:hint="eastAsia" w:cs="仿宋"/>
                <w:highlight w:val="none"/>
                <w:lang w:val="zh-CN"/>
              </w:rPr>
              <w:t>本项目谈判保证金金额（人民币）</w:t>
            </w:r>
            <w:r>
              <w:rPr>
                <w:rFonts w:cs="仿宋"/>
                <w:highlight w:val="none"/>
                <w:u w:val="single"/>
              </w:rPr>
              <w:t>1</w:t>
            </w:r>
            <w:r>
              <w:rPr>
                <w:rFonts w:hint="eastAsia" w:cs="仿宋"/>
                <w:highlight w:val="none"/>
                <w:u w:val="single"/>
                <w:lang w:val="en-US" w:eastAsia="zh-CN"/>
              </w:rPr>
              <w:t>0</w:t>
            </w:r>
            <w:r>
              <w:rPr>
                <w:rFonts w:cs="仿宋"/>
                <w:highlight w:val="none"/>
                <w:u w:val="single"/>
              </w:rPr>
              <w:t>000</w:t>
            </w:r>
            <w:r>
              <w:rPr>
                <w:rFonts w:hint="eastAsia" w:cs="仿宋"/>
                <w:highlight w:val="none"/>
                <w:lang w:val="zh-CN"/>
              </w:rPr>
              <w:t>元(大写：</w:t>
            </w:r>
            <w:r>
              <w:rPr>
                <w:rFonts w:hint="eastAsia" w:cs="仿宋"/>
                <w:highlight w:val="none"/>
                <w:u w:val="single"/>
              </w:rPr>
              <w:t>壹万仟元</w:t>
            </w:r>
            <w:r>
              <w:rPr>
                <w:rFonts w:hint="eastAsia" w:cs="仿宋"/>
                <w:highlight w:val="none"/>
                <w:lang w:val="zh-CN"/>
              </w:rPr>
              <w:t>整)；</w:t>
            </w:r>
          </w:p>
          <w:p>
            <w:pPr>
              <w:pStyle w:val="151"/>
              <w:spacing w:line="360" w:lineRule="auto"/>
              <w:rPr>
                <w:rFonts w:cs="仿宋"/>
                <w:highlight w:val="none"/>
                <w:lang w:val="zh-CN"/>
              </w:rPr>
            </w:pPr>
            <w:r>
              <w:rPr>
                <w:rFonts w:hint="eastAsia" w:cs="仿宋"/>
                <w:highlight w:val="none"/>
                <w:lang w:val="zh-CN"/>
              </w:rPr>
              <w:t>收款单位：西南联合产权交易所有限责任公司；</w:t>
            </w:r>
          </w:p>
          <w:p>
            <w:pPr>
              <w:pStyle w:val="151"/>
              <w:spacing w:line="360" w:lineRule="auto"/>
              <w:rPr>
                <w:rFonts w:cs="仿宋"/>
                <w:highlight w:val="none"/>
                <w:lang w:val="zh-CN"/>
              </w:rPr>
            </w:pPr>
            <w:r>
              <w:rPr>
                <w:rFonts w:hint="eastAsia" w:cs="仿宋"/>
                <w:highlight w:val="none"/>
                <w:lang w:val="zh-CN"/>
              </w:rPr>
              <w:t>交款方式：通过供应商账户转账，交款账户名称和供应商名称必须一致，以到账时间为准。</w:t>
            </w:r>
          </w:p>
          <w:p>
            <w:pPr>
              <w:pStyle w:val="151"/>
              <w:spacing w:line="360" w:lineRule="auto"/>
              <w:rPr>
                <w:rFonts w:cs="仿宋"/>
                <w:highlight w:val="none"/>
                <w:lang w:val="zh-CN"/>
              </w:rPr>
            </w:pPr>
            <w:r>
              <w:rPr>
                <w:rFonts w:hint="eastAsia" w:cs="仿宋"/>
                <w:highlight w:val="none"/>
                <w:lang w:val="zh-CN"/>
              </w:rPr>
              <w:t>保证金交纳截止时间（北京时间）：</w:t>
            </w:r>
            <w:r>
              <w:rPr>
                <w:rFonts w:cs="仿宋"/>
                <w:highlight w:val="none"/>
                <w:u w:val="single"/>
              </w:rPr>
              <w:t>2022</w:t>
            </w:r>
            <w:r>
              <w:rPr>
                <w:rFonts w:hint="eastAsia" w:cs="仿宋"/>
                <w:highlight w:val="none"/>
                <w:lang w:val="zh-CN"/>
              </w:rPr>
              <w:t>年</w:t>
            </w:r>
            <w:r>
              <w:rPr>
                <w:rFonts w:hint="eastAsia" w:cs="仿宋"/>
                <w:highlight w:val="none"/>
                <w:u w:val="single"/>
                <w:lang w:val="zh-CN"/>
              </w:rPr>
              <w:t xml:space="preserve"> </w:t>
            </w:r>
            <w:r>
              <w:rPr>
                <w:rFonts w:hint="eastAsia" w:cs="仿宋"/>
                <w:highlight w:val="none"/>
                <w:u w:val="single"/>
                <w:lang w:val="en-US" w:eastAsia="zh-CN"/>
              </w:rPr>
              <w:t>5</w:t>
            </w:r>
            <w:r>
              <w:rPr>
                <w:rFonts w:hint="eastAsia" w:cs="仿宋"/>
                <w:highlight w:val="none"/>
                <w:u w:val="single"/>
              </w:rPr>
              <w:t xml:space="preserve"> </w:t>
            </w:r>
            <w:r>
              <w:rPr>
                <w:rFonts w:hint="eastAsia" w:cs="仿宋"/>
                <w:highlight w:val="none"/>
                <w:lang w:val="zh-CN"/>
              </w:rPr>
              <w:t>月</w:t>
            </w:r>
            <w:r>
              <w:rPr>
                <w:rFonts w:hint="eastAsia" w:cs="仿宋"/>
                <w:highlight w:val="none"/>
                <w:u w:val="single"/>
                <w:lang w:val="zh-CN"/>
              </w:rPr>
              <w:t xml:space="preserve"> </w:t>
            </w:r>
            <w:r>
              <w:rPr>
                <w:rFonts w:hint="eastAsia" w:cs="仿宋"/>
                <w:highlight w:val="none"/>
                <w:u w:val="single"/>
                <w:lang w:val="en-US" w:eastAsia="zh-CN"/>
              </w:rPr>
              <w:t>23</w:t>
            </w:r>
            <w:r>
              <w:rPr>
                <w:rFonts w:hint="eastAsia" w:cs="仿宋"/>
                <w:highlight w:val="none"/>
                <w:u w:val="single"/>
              </w:rPr>
              <w:t xml:space="preserve"> </w:t>
            </w:r>
            <w:r>
              <w:rPr>
                <w:rFonts w:hint="eastAsia" w:cs="仿宋"/>
                <w:highlight w:val="none"/>
                <w:lang w:val="zh-CN"/>
              </w:rPr>
              <w:t>日</w:t>
            </w:r>
            <w:r>
              <w:rPr>
                <w:rFonts w:hint="eastAsia" w:cs="仿宋"/>
                <w:highlight w:val="none"/>
                <w:u w:val="single"/>
                <w:lang w:val="zh-CN"/>
              </w:rPr>
              <w:t>1</w:t>
            </w:r>
            <w:r>
              <w:rPr>
                <w:rFonts w:hint="eastAsia" w:cs="仿宋"/>
                <w:highlight w:val="none"/>
                <w:u w:val="single"/>
                <w:lang w:val="en-US" w:eastAsia="zh-CN"/>
              </w:rPr>
              <w:t>1</w:t>
            </w:r>
            <w:r>
              <w:rPr>
                <w:rFonts w:hint="eastAsia" w:cs="仿宋"/>
                <w:highlight w:val="none"/>
                <w:u w:val="single"/>
                <w:lang w:val="zh-CN"/>
              </w:rPr>
              <w:t>：00</w:t>
            </w:r>
            <w:r>
              <w:rPr>
                <w:rFonts w:hint="eastAsia" w:cs="仿宋"/>
                <w:highlight w:val="none"/>
                <w:lang w:val="zh-CN"/>
              </w:rPr>
              <w:t>前（谈判保证金的交纳以银行到账时间为准；超过此时限到达指定账户导致响应无效的，由潜在供应商自行承担责任）。</w:t>
            </w:r>
          </w:p>
          <w:p>
            <w:pPr>
              <w:pStyle w:val="151"/>
              <w:spacing w:line="360" w:lineRule="auto"/>
              <w:ind w:firstLine="240" w:firstLineChars="100"/>
              <w:jc w:val="both"/>
              <w:rPr>
                <w:rFonts w:cs="仿宋"/>
                <w:b/>
                <w:bCs/>
                <w:highlight w:val="none"/>
                <w:lang w:val="zh-CN"/>
              </w:rPr>
            </w:pPr>
            <w:r>
              <w:rPr>
                <w:rFonts w:hint="eastAsia" w:cs="仿宋"/>
                <w:b/>
                <w:bCs/>
                <w:highlight w:val="none"/>
                <w:lang w:val="zh-CN"/>
              </w:rPr>
              <w:t>特别注意：1.潜在供应商在交纳谈判保证金时，请务必核实招采平台转账页面的“项目信息”，认真阅读“注意事项”并按照“支付信息”进行转账。</w:t>
            </w:r>
          </w:p>
          <w:p>
            <w:pPr>
              <w:pStyle w:val="151"/>
              <w:spacing w:line="360" w:lineRule="auto"/>
              <w:ind w:firstLine="240" w:firstLineChars="100"/>
              <w:jc w:val="both"/>
              <w:rPr>
                <w:rFonts w:cs="仿宋"/>
                <w:highlight w:val="none"/>
                <w:lang w:val="zh-CN"/>
              </w:rPr>
            </w:pPr>
            <w:r>
              <w:rPr>
                <w:rFonts w:hint="eastAsia" w:cs="仿宋"/>
                <w:b/>
                <w:bCs/>
                <w:highlight w:val="none"/>
                <w:lang w:val="zh-CN"/>
              </w:rPr>
              <w:t>2．招采平台所提供的账户为虚拟账户，且每次缴纳费用的账号基本不同，请各供应商在缴纳费用时，仔细核对收款账户、账号，避免因账号错误而造成保证金未按要求缴纳。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Times New Roman"/>
                <w:highlight w:val="none"/>
              </w:rPr>
            </w:pPr>
            <w:r>
              <w:rPr>
                <w:rFonts w:hint="eastAsia" w:cs="Times New Roman"/>
                <w:highlight w:val="none"/>
              </w:rPr>
              <w:t>11</w:t>
            </w:r>
          </w:p>
        </w:tc>
        <w:tc>
          <w:tcPr>
            <w:tcW w:w="2409" w:type="dxa"/>
            <w:vAlign w:val="center"/>
          </w:tcPr>
          <w:p>
            <w:pPr>
              <w:pStyle w:val="151"/>
              <w:spacing w:line="360" w:lineRule="auto"/>
              <w:ind w:left="38"/>
              <w:jc w:val="center"/>
              <w:rPr>
                <w:rFonts w:cs="Times New Roman"/>
                <w:highlight w:val="none"/>
                <w:lang w:val="zh-CN"/>
              </w:rPr>
            </w:pPr>
            <w:r>
              <w:rPr>
                <w:rFonts w:hint="eastAsia" w:cs="仿宋"/>
                <w:highlight w:val="none"/>
                <w:lang w:val="zh-CN"/>
              </w:rPr>
              <w:t>履约保证金</w:t>
            </w:r>
            <w:r>
              <w:rPr>
                <w:rFonts w:hint="eastAsia" w:cs="仿宋"/>
                <w:b/>
                <w:highlight w:val="none"/>
              </w:rPr>
              <w:t>（实质性要求）</w:t>
            </w:r>
          </w:p>
        </w:tc>
        <w:tc>
          <w:tcPr>
            <w:tcW w:w="6084" w:type="dxa"/>
            <w:vAlign w:val="center"/>
          </w:tcPr>
          <w:p>
            <w:pPr>
              <w:spacing w:line="360" w:lineRule="auto"/>
              <w:ind w:firstLine="240" w:firstLineChars="100"/>
              <w:rPr>
                <w:rFonts w:cs="仿宋"/>
                <w:highlight w:val="none"/>
              </w:rPr>
            </w:pPr>
            <w:bookmarkStart w:id="32" w:name="PO_默认文件内容_17"/>
            <w:r>
              <w:rPr>
                <w:rFonts w:hint="eastAsia" w:cs="仿宋"/>
                <w:highlight w:val="none"/>
              </w:rPr>
              <w:t>本项目履约保证金为合同金额的</w:t>
            </w:r>
            <w:r>
              <w:rPr>
                <w:rFonts w:cs="仿宋"/>
                <w:highlight w:val="none"/>
                <w:u w:val="single"/>
              </w:rPr>
              <w:t>5</w:t>
            </w:r>
            <w:r>
              <w:rPr>
                <w:rFonts w:hint="eastAsia" w:cs="仿宋"/>
                <w:highlight w:val="none"/>
              </w:rPr>
              <w:t>%。</w:t>
            </w:r>
          </w:p>
          <w:p>
            <w:pPr>
              <w:spacing w:line="360" w:lineRule="auto"/>
              <w:ind w:firstLine="240" w:firstLineChars="100"/>
              <w:rPr>
                <w:rFonts w:cs="仿宋"/>
                <w:highlight w:val="none"/>
              </w:rPr>
            </w:pPr>
            <w:r>
              <w:rPr>
                <w:rFonts w:hint="eastAsia" w:cs="仿宋"/>
                <w:highlight w:val="none"/>
              </w:rPr>
              <w:t>交款方式：通过成交供应商的基本账户以银行转账方式或银行保函方式、保证保险方式缴纳。</w:t>
            </w:r>
          </w:p>
          <w:p>
            <w:pPr>
              <w:spacing w:line="360" w:lineRule="auto"/>
              <w:ind w:firstLine="240" w:firstLineChars="100"/>
              <w:rPr>
                <w:rFonts w:cs="仿宋"/>
                <w:highlight w:val="none"/>
              </w:rPr>
            </w:pPr>
            <w:r>
              <w:rPr>
                <w:rFonts w:hint="eastAsia" w:cs="仿宋"/>
                <w:highlight w:val="none"/>
              </w:rPr>
              <w:t>收款单位：</w:t>
            </w:r>
            <w:r>
              <w:rPr>
                <w:rFonts w:hint="eastAsia"/>
                <w:color w:val="000000"/>
                <w:highlight w:val="none"/>
                <w:u w:val="single"/>
                <w:lang w:val="zh-CN"/>
              </w:rPr>
              <w:t>什邡国润供水有限公司</w:t>
            </w:r>
            <w:r>
              <w:rPr>
                <w:rFonts w:hint="eastAsia" w:cs="仿宋"/>
                <w:highlight w:val="none"/>
              </w:rPr>
              <w:t>。</w:t>
            </w:r>
          </w:p>
          <w:p>
            <w:pPr>
              <w:spacing w:line="360" w:lineRule="auto"/>
              <w:ind w:firstLine="240" w:firstLineChars="100"/>
              <w:rPr>
                <w:rFonts w:cs="仿宋"/>
                <w:highlight w:val="none"/>
              </w:rPr>
            </w:pPr>
            <w:r>
              <w:rPr>
                <w:rFonts w:hint="eastAsia" w:cs="仿宋"/>
                <w:highlight w:val="none"/>
              </w:rPr>
              <w:t>开户行：</w:t>
            </w:r>
            <w:r>
              <w:rPr>
                <w:rFonts w:hint="eastAsia"/>
                <w:color w:val="000000"/>
                <w:highlight w:val="none"/>
                <w:u w:val="single"/>
                <w:lang w:val="zh-CN"/>
              </w:rPr>
              <w:t>中国银行什邡支行</w:t>
            </w:r>
            <w:r>
              <w:rPr>
                <w:rFonts w:hint="eastAsia" w:cs="仿宋"/>
                <w:highlight w:val="none"/>
              </w:rPr>
              <w:t>。</w:t>
            </w:r>
          </w:p>
          <w:p>
            <w:pPr>
              <w:spacing w:line="360" w:lineRule="auto"/>
              <w:ind w:firstLine="240" w:firstLineChars="100"/>
              <w:rPr>
                <w:rFonts w:cs="仿宋"/>
                <w:highlight w:val="none"/>
              </w:rPr>
            </w:pPr>
            <w:r>
              <w:rPr>
                <w:rFonts w:hint="eastAsia" w:cs="仿宋"/>
                <w:highlight w:val="none"/>
              </w:rPr>
              <w:t>银行账号：</w:t>
            </w:r>
            <w:r>
              <w:rPr>
                <w:rFonts w:hint="eastAsia"/>
                <w:color w:val="000000"/>
                <w:highlight w:val="none"/>
                <w:u w:val="single"/>
                <w:lang w:val="zh-CN"/>
              </w:rPr>
              <w:t>122617763245</w:t>
            </w:r>
            <w:r>
              <w:rPr>
                <w:rFonts w:hint="eastAsia" w:cs="仿宋"/>
                <w:highlight w:val="none"/>
              </w:rPr>
              <w:t>。</w:t>
            </w:r>
          </w:p>
          <w:bookmarkEnd w:id="32"/>
          <w:p>
            <w:pPr>
              <w:spacing w:line="360" w:lineRule="auto"/>
              <w:ind w:firstLine="240" w:firstLineChars="100"/>
              <w:rPr>
                <w:rFonts w:cs="仿宋"/>
                <w:highlight w:val="none"/>
              </w:rPr>
            </w:pPr>
            <w:r>
              <w:rPr>
                <w:rFonts w:hint="eastAsia" w:cs="仿宋"/>
                <w:highlight w:val="none"/>
              </w:rPr>
              <w:t>交款时间：成交通知书发放后，承包合同签订前。</w:t>
            </w:r>
          </w:p>
          <w:p>
            <w:pPr>
              <w:spacing w:line="360" w:lineRule="auto"/>
              <w:ind w:firstLine="240" w:firstLineChars="100"/>
              <w:rPr>
                <w:rFonts w:cs="仿宋"/>
                <w:highlight w:val="none"/>
              </w:rPr>
            </w:pPr>
            <w:r>
              <w:rPr>
                <w:rFonts w:hint="eastAsia" w:cs="仿宋"/>
                <w:highlight w:val="none"/>
              </w:rPr>
              <w:t>履约保证金的退还：详见合同约定。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Times New Roman"/>
                <w:highlight w:val="none"/>
              </w:rPr>
            </w:pPr>
            <w:r>
              <w:rPr>
                <w:rFonts w:hint="eastAsia" w:cs="Times New Roman"/>
                <w:highlight w:val="none"/>
              </w:rPr>
              <w:t>12</w:t>
            </w:r>
          </w:p>
        </w:tc>
        <w:tc>
          <w:tcPr>
            <w:tcW w:w="2409" w:type="dxa"/>
            <w:vAlign w:val="center"/>
          </w:tcPr>
          <w:p>
            <w:pPr>
              <w:pStyle w:val="151"/>
              <w:spacing w:line="360" w:lineRule="auto"/>
              <w:ind w:left="38"/>
              <w:jc w:val="center"/>
              <w:rPr>
                <w:rFonts w:cs="Times New Roman"/>
                <w:highlight w:val="none"/>
                <w:lang w:val="zh-CN"/>
              </w:rPr>
            </w:pPr>
            <w:r>
              <w:rPr>
                <w:rFonts w:hint="eastAsia" w:cs="仿宋"/>
                <w:highlight w:val="none"/>
                <w:lang w:val="zh-CN"/>
              </w:rPr>
              <w:t>递交响应文件时须提交的其他资料</w:t>
            </w:r>
          </w:p>
        </w:tc>
        <w:tc>
          <w:tcPr>
            <w:tcW w:w="6084" w:type="dxa"/>
            <w:vAlign w:val="center"/>
          </w:tcPr>
          <w:p>
            <w:pPr>
              <w:spacing w:line="360" w:lineRule="auto"/>
              <w:ind w:firstLine="240" w:firstLineChars="100"/>
              <w:rPr>
                <w:rFonts w:cs="仿宋"/>
                <w:highlight w:val="none"/>
              </w:rPr>
            </w:pPr>
            <w:r>
              <w:rPr>
                <w:rFonts w:hint="eastAsia" w:cs="仿宋"/>
                <w:highlight w:val="none"/>
              </w:rPr>
              <w:t>法人代表授权委托书一份（非法人代表参加谈判提供，附法人代表身份证、授权代表身份证复印件加盖公章，授权代表身份证原件查验；法人代表参加谈判提供身份证复印件加盖公章，身份证原件查验）</w:t>
            </w:r>
          </w:p>
          <w:p>
            <w:pPr>
              <w:spacing w:line="360" w:lineRule="auto"/>
              <w:ind w:firstLine="240" w:firstLineChars="100"/>
              <w:rPr>
                <w:rFonts w:cs="仿宋"/>
                <w:highlight w:val="none"/>
                <w:lang w:val="zh-CN"/>
              </w:rPr>
            </w:pPr>
            <w:r>
              <w:rPr>
                <w:rFonts w:hint="eastAsia" w:cs="仿宋"/>
                <w:highlight w:val="none"/>
              </w:rPr>
              <w:t>注：单独递交给采购代理机构，不需要密封。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1013" w:type="dxa"/>
            <w:vAlign w:val="center"/>
          </w:tcPr>
          <w:p>
            <w:pPr>
              <w:pStyle w:val="151"/>
              <w:spacing w:line="360" w:lineRule="auto"/>
              <w:ind w:right="230"/>
              <w:jc w:val="center"/>
              <w:rPr>
                <w:rFonts w:cs="Times New Roman"/>
                <w:highlight w:val="none"/>
              </w:rPr>
            </w:pPr>
            <w:r>
              <w:rPr>
                <w:rFonts w:hint="eastAsia" w:cs="Times New Roman"/>
                <w:highlight w:val="none"/>
              </w:rPr>
              <w:t>13</w:t>
            </w:r>
          </w:p>
          <w:p>
            <w:pPr>
              <w:pStyle w:val="151"/>
              <w:spacing w:line="360" w:lineRule="auto"/>
              <w:ind w:right="230"/>
              <w:jc w:val="center"/>
              <w:rPr>
                <w:rFonts w:cs="Times New Roman"/>
                <w:highlight w:val="none"/>
              </w:rPr>
            </w:pPr>
          </w:p>
          <w:p>
            <w:pPr>
              <w:pStyle w:val="151"/>
              <w:spacing w:line="360" w:lineRule="auto"/>
              <w:ind w:right="230"/>
              <w:jc w:val="center"/>
              <w:rPr>
                <w:rFonts w:cs="Times New Roman"/>
                <w:highlight w:val="none"/>
              </w:rPr>
            </w:pPr>
          </w:p>
        </w:tc>
        <w:tc>
          <w:tcPr>
            <w:tcW w:w="2409" w:type="dxa"/>
            <w:vAlign w:val="center"/>
          </w:tcPr>
          <w:p>
            <w:pPr>
              <w:pStyle w:val="151"/>
              <w:spacing w:line="360" w:lineRule="auto"/>
              <w:ind w:left="38"/>
              <w:jc w:val="center"/>
              <w:rPr>
                <w:rFonts w:cs="Times New Roman"/>
                <w:highlight w:val="none"/>
                <w:lang w:val="zh-CN"/>
              </w:rPr>
            </w:pPr>
            <w:r>
              <w:rPr>
                <w:rFonts w:hint="eastAsia" w:cs="仿宋"/>
                <w:highlight w:val="none"/>
                <w:lang w:val="zh-CN"/>
              </w:rPr>
              <w:t>供应商询问</w:t>
            </w:r>
            <w:r>
              <w:rPr>
                <w:rFonts w:hint="eastAsia" w:cs="Times New Roman"/>
                <w:highlight w:val="none"/>
                <w:lang w:val="zh-CN"/>
              </w:rPr>
              <w:t>/</w:t>
            </w:r>
            <w:r>
              <w:rPr>
                <w:rFonts w:hint="eastAsia" w:cs="仿宋"/>
                <w:highlight w:val="none"/>
                <w:lang w:val="zh-CN"/>
              </w:rPr>
              <w:t>质疑</w:t>
            </w:r>
          </w:p>
        </w:tc>
        <w:tc>
          <w:tcPr>
            <w:tcW w:w="6084" w:type="dxa"/>
          </w:tcPr>
          <w:p>
            <w:pPr>
              <w:spacing w:line="360" w:lineRule="auto"/>
              <w:ind w:right="120" w:rightChars="50"/>
              <w:rPr>
                <w:rFonts w:cs="仿宋"/>
                <w:kern w:val="2"/>
                <w:highlight w:val="none"/>
              </w:rPr>
            </w:pPr>
            <w:r>
              <w:rPr>
                <w:rFonts w:hint="eastAsia" w:cs="仿宋"/>
                <w:kern w:val="2"/>
                <w:highlight w:val="none"/>
              </w:rPr>
              <w:t>供应商对竞争性谈判文件中的资格条件、技术（服务）要求、商务要求、评分标准提出的质疑由采购人受理并答复。</w:t>
            </w:r>
          </w:p>
          <w:p>
            <w:pPr>
              <w:pStyle w:val="151"/>
              <w:spacing w:line="360" w:lineRule="auto"/>
              <w:jc w:val="both"/>
              <w:rPr>
                <w:rFonts w:cs="仿宋"/>
                <w:kern w:val="2"/>
                <w:highlight w:val="none"/>
              </w:rPr>
            </w:pPr>
            <w:r>
              <w:rPr>
                <w:rFonts w:hint="eastAsia" w:cs="仿宋"/>
                <w:kern w:val="2"/>
                <w:highlight w:val="none"/>
              </w:rPr>
              <w:t>供应商对采购过程，成交结果和竞争性谈判文件中除资格条件、技术（服务）要求、商务要求、评分标准以外的内容提出的质疑由采购代理机构受理并答复。</w:t>
            </w:r>
          </w:p>
          <w:p>
            <w:pPr>
              <w:pStyle w:val="151"/>
              <w:spacing w:line="360" w:lineRule="auto"/>
              <w:rPr>
                <w:rFonts w:cs="仿宋"/>
                <w:kern w:val="2"/>
                <w:highlight w:val="none"/>
              </w:rPr>
            </w:pPr>
            <w:r>
              <w:rPr>
                <w:rFonts w:hint="eastAsia" w:cs="仿宋"/>
                <w:kern w:val="2"/>
                <w:highlight w:val="none"/>
              </w:rPr>
              <w:t>对竞争性谈判文件提出质疑的时间：谈判截止日</w:t>
            </w:r>
            <w:r>
              <w:rPr>
                <w:rFonts w:cs="仿宋"/>
                <w:kern w:val="2"/>
                <w:highlight w:val="none"/>
              </w:rPr>
              <w:t>3</w:t>
            </w:r>
            <w:r>
              <w:rPr>
                <w:rFonts w:hint="eastAsia" w:cs="仿宋"/>
                <w:kern w:val="2"/>
                <w:highlight w:val="none"/>
              </w:rPr>
              <w:t>个工作日前。</w:t>
            </w:r>
          </w:p>
          <w:p>
            <w:pPr>
              <w:pStyle w:val="151"/>
              <w:spacing w:line="360" w:lineRule="auto"/>
              <w:jc w:val="both"/>
              <w:rPr>
                <w:rFonts w:cs="仿宋"/>
                <w:highlight w:val="none"/>
                <w:lang w:val="zh-CN"/>
              </w:rPr>
            </w:pPr>
            <w:r>
              <w:rPr>
                <w:rFonts w:hint="eastAsia" w:cs="仿宋"/>
                <w:kern w:val="2"/>
                <w:highlight w:val="none"/>
              </w:rPr>
              <w:t>对采购结果提出的质疑：成交公示期内。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Times New Roman"/>
                <w:highlight w:val="none"/>
              </w:rPr>
            </w:pPr>
            <w:r>
              <w:rPr>
                <w:rFonts w:hint="eastAsia" w:cs="仿宋"/>
                <w:highlight w:val="none"/>
              </w:rPr>
              <w:t>14</w:t>
            </w:r>
          </w:p>
        </w:tc>
        <w:tc>
          <w:tcPr>
            <w:tcW w:w="2409" w:type="dxa"/>
            <w:vAlign w:val="center"/>
          </w:tcPr>
          <w:p>
            <w:pPr>
              <w:pStyle w:val="151"/>
              <w:spacing w:line="360" w:lineRule="auto"/>
              <w:ind w:left="96"/>
              <w:jc w:val="center"/>
              <w:rPr>
                <w:rFonts w:cs="仿宋"/>
                <w:highlight w:val="none"/>
                <w:lang w:val="zh-CN"/>
              </w:rPr>
            </w:pPr>
            <w:r>
              <w:rPr>
                <w:rFonts w:hint="eastAsia" w:cs="仿宋"/>
                <w:highlight w:val="none"/>
                <w:lang w:val="zh-CN"/>
              </w:rPr>
              <w:t>代理服务费</w:t>
            </w:r>
          </w:p>
        </w:tc>
        <w:tc>
          <w:tcPr>
            <w:tcW w:w="6084" w:type="dxa"/>
            <w:vAlign w:val="center"/>
          </w:tcPr>
          <w:p>
            <w:pPr>
              <w:pStyle w:val="151"/>
              <w:spacing w:line="360" w:lineRule="auto"/>
              <w:ind w:firstLine="240" w:firstLineChars="100"/>
              <w:jc w:val="both"/>
              <w:rPr>
                <w:rFonts w:cs="仿宋"/>
                <w:kern w:val="2"/>
                <w:highlight w:val="none"/>
                <w:lang w:val="zh-CN"/>
              </w:rPr>
            </w:pPr>
            <w:r>
              <w:rPr>
                <w:rFonts w:hint="eastAsia" w:cs="仿宋"/>
                <w:highlight w:val="none"/>
                <w:lang w:val="zh-CN"/>
              </w:rPr>
              <w:sym w:font="Wingdings 2" w:char="F0A2"/>
            </w:r>
            <w:r>
              <w:rPr>
                <w:rFonts w:hint="eastAsia" w:cs="仿宋"/>
                <w:highlight w:val="none"/>
                <w:lang w:val="zh-CN"/>
              </w:rPr>
              <w:t>本</w:t>
            </w:r>
            <w:r>
              <w:rPr>
                <w:rFonts w:hint="eastAsia" w:cs="仿宋"/>
                <w:kern w:val="2"/>
                <w:highlight w:val="none"/>
                <w:lang w:val="zh-CN"/>
              </w:rPr>
              <w:t>项目代理服务费由成交供应商在领取成交通知书时一次性支付给代理机构，服务费用按原《招标代理服务收费管理暂行办法》[2002]1980号文收费标准的75%计取，不足8</w:t>
            </w:r>
            <w:r>
              <w:rPr>
                <w:rFonts w:cs="仿宋"/>
                <w:kern w:val="2"/>
                <w:highlight w:val="none"/>
                <w:lang w:val="zh-CN"/>
              </w:rPr>
              <w:t>000</w:t>
            </w:r>
            <w:r>
              <w:rPr>
                <w:rFonts w:hint="eastAsia" w:cs="仿宋"/>
                <w:kern w:val="2"/>
                <w:highlight w:val="none"/>
                <w:lang w:val="zh-CN"/>
              </w:rPr>
              <w:t>元按8</w:t>
            </w:r>
            <w:r>
              <w:rPr>
                <w:rFonts w:cs="仿宋"/>
                <w:kern w:val="2"/>
                <w:highlight w:val="none"/>
                <w:lang w:val="zh-CN"/>
              </w:rPr>
              <w:t>000</w:t>
            </w:r>
            <w:r>
              <w:rPr>
                <w:rFonts w:hint="eastAsia" w:cs="仿宋"/>
                <w:kern w:val="2"/>
                <w:highlight w:val="none"/>
                <w:lang w:val="zh-CN"/>
              </w:rPr>
              <w:t>元计取。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仿宋"/>
                <w:highlight w:val="none"/>
              </w:rPr>
            </w:pPr>
          </w:p>
        </w:tc>
        <w:tc>
          <w:tcPr>
            <w:tcW w:w="2409" w:type="dxa"/>
            <w:vAlign w:val="center"/>
          </w:tcPr>
          <w:p>
            <w:pPr>
              <w:pStyle w:val="5"/>
              <w:keepNext w:val="0"/>
              <w:keepLines w:val="0"/>
              <w:spacing w:before="0" w:after="0" w:line="360" w:lineRule="auto"/>
              <w:jc w:val="center"/>
              <w:rPr>
                <w:rFonts w:ascii="宋体" w:hAnsi="宋体" w:cs="仿宋"/>
                <w:kern w:val="2"/>
                <w:szCs w:val="24"/>
                <w:highlight w:val="none"/>
              </w:rPr>
            </w:pPr>
            <w:r>
              <w:rPr>
                <w:rFonts w:hint="eastAsia" w:ascii="宋体" w:hAnsi="宋体" w:cs="仿宋"/>
                <w:b w:val="0"/>
                <w:bCs w:val="0"/>
                <w:szCs w:val="24"/>
                <w:highlight w:val="none"/>
              </w:rPr>
              <w:t>费用承担</w:t>
            </w:r>
          </w:p>
        </w:tc>
        <w:tc>
          <w:tcPr>
            <w:tcW w:w="6084" w:type="dxa"/>
            <w:vAlign w:val="center"/>
          </w:tcPr>
          <w:p>
            <w:pPr>
              <w:pStyle w:val="151"/>
              <w:spacing w:line="360" w:lineRule="auto"/>
              <w:jc w:val="both"/>
              <w:rPr>
                <w:rFonts w:cs="仿宋"/>
                <w:highlight w:val="none"/>
                <w:lang w:val="zh-CN"/>
              </w:rPr>
            </w:pPr>
            <w:r>
              <w:rPr>
                <w:rFonts w:hint="eastAsia" w:cs="仿宋"/>
                <w:highlight w:val="none"/>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Times New Roman"/>
                <w:highlight w:val="none"/>
              </w:rPr>
            </w:pPr>
            <w:r>
              <w:rPr>
                <w:rFonts w:hint="eastAsia" w:cs="仿宋"/>
                <w:highlight w:val="none"/>
              </w:rPr>
              <w:t>15</w:t>
            </w:r>
          </w:p>
        </w:tc>
        <w:tc>
          <w:tcPr>
            <w:tcW w:w="2409" w:type="dxa"/>
            <w:vAlign w:val="center"/>
          </w:tcPr>
          <w:p>
            <w:pPr>
              <w:pStyle w:val="151"/>
              <w:spacing w:line="360" w:lineRule="auto"/>
              <w:ind w:left="96"/>
              <w:jc w:val="center"/>
              <w:rPr>
                <w:rFonts w:cs="Times New Roman"/>
                <w:highlight w:val="none"/>
                <w:lang w:val="zh-CN"/>
              </w:rPr>
            </w:pPr>
            <w:r>
              <w:rPr>
                <w:rFonts w:hint="eastAsia" w:cs="仿宋"/>
                <w:highlight w:val="none"/>
                <w:lang w:val="zh-CN"/>
              </w:rPr>
              <w:t>合同分包</w:t>
            </w:r>
            <w:r>
              <w:rPr>
                <w:rFonts w:hint="eastAsia" w:cs="仿宋"/>
                <w:b/>
                <w:highlight w:val="none"/>
                <w:lang w:val="zh-CN"/>
              </w:rPr>
              <w:t>（实质性要求）</w:t>
            </w:r>
          </w:p>
        </w:tc>
        <w:tc>
          <w:tcPr>
            <w:tcW w:w="6084" w:type="dxa"/>
            <w:vAlign w:val="center"/>
          </w:tcPr>
          <w:p>
            <w:pPr>
              <w:pStyle w:val="151"/>
              <w:spacing w:line="360" w:lineRule="auto"/>
              <w:ind w:firstLine="240" w:firstLineChars="100"/>
              <w:jc w:val="both"/>
              <w:rPr>
                <w:rFonts w:cs="仿宋"/>
                <w:highlight w:val="none"/>
                <w:lang w:val="zh-CN"/>
              </w:rPr>
            </w:pPr>
            <w:r>
              <w:rPr>
                <w:rFonts w:hint="eastAsia" w:cs="仿宋"/>
                <w:highlight w:val="none"/>
                <w:lang w:val="zh-CN"/>
              </w:rPr>
              <w:t>接受合同分包；</w:t>
            </w:r>
            <w:r>
              <w:rPr>
                <w:rFonts w:cs="仿宋"/>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16</w:t>
            </w:r>
          </w:p>
        </w:tc>
        <w:tc>
          <w:tcPr>
            <w:tcW w:w="2409" w:type="dxa"/>
            <w:vAlign w:val="center"/>
          </w:tcPr>
          <w:p>
            <w:pPr>
              <w:pStyle w:val="151"/>
              <w:spacing w:line="360" w:lineRule="auto"/>
              <w:ind w:left="96"/>
              <w:jc w:val="center"/>
              <w:rPr>
                <w:rFonts w:cs="仿宋"/>
                <w:bCs/>
                <w:highlight w:val="none"/>
              </w:rPr>
            </w:pPr>
            <w:r>
              <w:rPr>
                <w:rFonts w:hint="eastAsia" w:cs="仿宋"/>
                <w:bCs/>
                <w:highlight w:val="none"/>
              </w:rPr>
              <w:t>响应有效期</w:t>
            </w:r>
            <w:r>
              <w:rPr>
                <w:rFonts w:hint="eastAsia" w:cs="仿宋"/>
                <w:b/>
                <w:bCs/>
                <w:highlight w:val="none"/>
              </w:rPr>
              <w:t>（实质性要求）</w:t>
            </w:r>
          </w:p>
        </w:tc>
        <w:tc>
          <w:tcPr>
            <w:tcW w:w="6084" w:type="dxa"/>
            <w:vAlign w:val="center"/>
          </w:tcPr>
          <w:p>
            <w:pPr>
              <w:pStyle w:val="151"/>
              <w:spacing w:line="360" w:lineRule="auto"/>
              <w:ind w:firstLine="240" w:firstLineChars="100"/>
              <w:jc w:val="both"/>
              <w:rPr>
                <w:rFonts w:cs="仿宋"/>
                <w:highlight w:val="none"/>
              </w:rPr>
            </w:pPr>
            <w:r>
              <w:rPr>
                <w:rFonts w:hint="eastAsia" w:cs="仿宋"/>
                <w:highlight w:val="none"/>
                <w:lang w:val="zh-CN"/>
              </w:rPr>
              <w:t>本项目响应有效期：从首次提交谈判响应文件截止之日起，不得少于</w:t>
            </w:r>
            <w:r>
              <w:rPr>
                <w:rFonts w:hint="eastAsia" w:cs="仿宋"/>
                <w:highlight w:val="none"/>
              </w:rPr>
              <w:t>60</w:t>
            </w:r>
            <w:r>
              <w:rPr>
                <w:rFonts w:hint="eastAsia" w:cs="仿宋"/>
                <w:highlight w:val="none"/>
                <w:lang w:val="zh-CN"/>
              </w:rPr>
              <w:t>天。在响应文件有效期内，供应商不得撤销响应文件，坚持撤销的，撤销无效。供应商响应文件中必须载明响应文件有效期，响应文件中载明的响应文件有效期可以长于竞争性谈判文件规定的期限，但不得短于竞争性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17</w:t>
            </w:r>
          </w:p>
        </w:tc>
        <w:tc>
          <w:tcPr>
            <w:tcW w:w="2409" w:type="dxa"/>
            <w:vAlign w:val="center"/>
          </w:tcPr>
          <w:p>
            <w:pPr>
              <w:pStyle w:val="151"/>
              <w:spacing w:line="360" w:lineRule="auto"/>
              <w:ind w:left="96"/>
              <w:jc w:val="center"/>
              <w:rPr>
                <w:rFonts w:cs="仿宋"/>
                <w:bCs/>
                <w:highlight w:val="none"/>
              </w:rPr>
            </w:pPr>
            <w:r>
              <w:rPr>
                <w:rFonts w:hint="eastAsia" w:cs="仿宋"/>
                <w:bCs/>
                <w:highlight w:val="none"/>
              </w:rPr>
              <w:t>知识产权</w:t>
            </w:r>
          </w:p>
        </w:tc>
        <w:tc>
          <w:tcPr>
            <w:tcW w:w="6084" w:type="dxa"/>
            <w:vAlign w:val="center"/>
          </w:tcPr>
          <w:p>
            <w:pPr>
              <w:pStyle w:val="151"/>
              <w:spacing w:line="360" w:lineRule="auto"/>
              <w:ind w:firstLine="240" w:firstLineChars="100"/>
              <w:jc w:val="both"/>
              <w:rPr>
                <w:rFonts w:cs="仿宋"/>
                <w:highlight w:val="none"/>
                <w:lang w:val="zh-CN"/>
              </w:rPr>
            </w:pPr>
            <w:r>
              <w:rPr>
                <w:rFonts w:hint="eastAsia" w:cs="仿宋"/>
                <w:highlight w:val="none"/>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51"/>
              <w:spacing w:line="360" w:lineRule="auto"/>
              <w:ind w:firstLine="240" w:firstLineChars="100"/>
              <w:jc w:val="both"/>
              <w:rPr>
                <w:rFonts w:cs="仿宋"/>
                <w:highlight w:val="none"/>
                <w:lang w:val="zh-CN"/>
              </w:rPr>
            </w:pPr>
            <w:r>
              <w:rPr>
                <w:rFonts w:hint="eastAsia" w:cs="仿宋"/>
                <w:highlight w:val="none"/>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151"/>
              <w:spacing w:line="360" w:lineRule="auto"/>
              <w:ind w:firstLine="240" w:firstLineChars="100"/>
              <w:jc w:val="both"/>
              <w:rPr>
                <w:rFonts w:cs="仿宋"/>
                <w:highlight w:val="none"/>
                <w:lang w:val="zh-CN"/>
              </w:rPr>
            </w:pPr>
            <w:r>
              <w:rPr>
                <w:rFonts w:hint="eastAsia" w:cs="仿宋"/>
                <w:highlight w:val="none"/>
                <w:lang w:val="zh-CN"/>
              </w:rPr>
              <w:t>3.如采用供应商所不拥有的知识产权，则在报价中必须包括合法获取使用该知识产权的相关费用。</w:t>
            </w:r>
          </w:p>
          <w:p>
            <w:pPr>
              <w:pStyle w:val="151"/>
              <w:spacing w:line="360" w:lineRule="auto"/>
              <w:ind w:firstLine="240" w:firstLineChars="100"/>
              <w:jc w:val="both"/>
              <w:rPr>
                <w:rFonts w:cs="仿宋"/>
                <w:highlight w:val="none"/>
                <w:lang w:val="zh-CN"/>
              </w:rPr>
            </w:pPr>
            <w:r>
              <w:rPr>
                <w:rFonts w:hint="eastAsia" w:cs="仿宋"/>
                <w:highlight w:val="none"/>
                <w:lang w:val="zh-CN"/>
              </w:rPr>
              <w:t>4.构成本竞争性谈判文件的各组成部分，未经采购人书面同意，供应商不得擅自复印或用于非本谈判项目所需的其他目的。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51"/>
              <w:spacing w:line="360" w:lineRule="auto"/>
              <w:ind w:right="230"/>
              <w:jc w:val="center"/>
              <w:rPr>
                <w:rFonts w:cs="仿宋"/>
                <w:highlight w:val="none"/>
              </w:rPr>
            </w:pPr>
            <w:r>
              <w:rPr>
                <w:rFonts w:hint="eastAsia" w:cs="仿宋"/>
                <w:highlight w:val="none"/>
              </w:rPr>
              <w:t>18</w:t>
            </w:r>
          </w:p>
        </w:tc>
        <w:tc>
          <w:tcPr>
            <w:tcW w:w="2409" w:type="dxa"/>
            <w:vAlign w:val="center"/>
          </w:tcPr>
          <w:p>
            <w:pPr>
              <w:pStyle w:val="151"/>
              <w:spacing w:line="360" w:lineRule="auto"/>
              <w:jc w:val="center"/>
              <w:rPr>
                <w:rFonts w:cs="仿宋"/>
                <w:bCs/>
                <w:highlight w:val="none"/>
              </w:rPr>
            </w:pPr>
            <w:r>
              <w:rPr>
                <w:rFonts w:hint="eastAsia" w:cs="仿宋"/>
                <w:kern w:val="2"/>
                <w:highlight w:val="none"/>
                <w:lang w:val="zh-CN"/>
              </w:rPr>
              <w:t>其他要求</w:t>
            </w:r>
          </w:p>
        </w:tc>
        <w:tc>
          <w:tcPr>
            <w:tcW w:w="6084" w:type="dxa"/>
            <w:vAlign w:val="center"/>
          </w:tcPr>
          <w:p>
            <w:pPr>
              <w:pStyle w:val="151"/>
              <w:spacing w:line="360" w:lineRule="auto"/>
              <w:ind w:firstLine="240" w:firstLineChars="100"/>
              <w:rPr>
                <w:rFonts w:cs="仿宋"/>
                <w:kern w:val="2"/>
                <w:highlight w:val="none"/>
              </w:rPr>
            </w:pPr>
            <w:r>
              <w:rPr>
                <w:rFonts w:hint="eastAsia" w:cs="仿宋"/>
                <w:kern w:val="2"/>
                <w:highlight w:val="none"/>
              </w:rPr>
              <w:t>1.如本竞争性谈判文件其他内容与供应商须知附表内容不一致的，以供应商须知附表规定的内容为准。</w:t>
            </w:r>
          </w:p>
          <w:p>
            <w:pPr>
              <w:pStyle w:val="151"/>
              <w:spacing w:line="360" w:lineRule="auto"/>
              <w:ind w:firstLine="240" w:firstLineChars="100"/>
              <w:rPr>
                <w:rFonts w:cs="仿宋"/>
                <w:kern w:val="2"/>
                <w:highlight w:val="none"/>
              </w:rPr>
            </w:pPr>
            <w:r>
              <w:rPr>
                <w:rFonts w:hint="eastAsia" w:cs="仿宋"/>
                <w:kern w:val="2"/>
                <w:highlight w:val="none"/>
              </w:rPr>
              <w:t>2.</w:t>
            </w:r>
            <w:r>
              <w:rPr>
                <w:rFonts w:hint="eastAsia" w:cs="仿宋"/>
                <w:highlight w:val="none"/>
                <w:lang w:val="zh-CN"/>
              </w:rPr>
              <w:t>供应商谈判报价小数点位数不作实质性要求。</w:t>
            </w:r>
          </w:p>
          <w:p>
            <w:pPr>
              <w:pStyle w:val="151"/>
              <w:spacing w:line="360" w:lineRule="auto"/>
              <w:ind w:firstLine="240" w:firstLineChars="100"/>
              <w:rPr>
                <w:rFonts w:cs="仿宋"/>
                <w:kern w:val="2"/>
                <w:highlight w:val="none"/>
              </w:rPr>
            </w:pPr>
            <w:r>
              <w:rPr>
                <w:rFonts w:cs="仿宋"/>
                <w:kern w:val="2"/>
                <w:highlight w:val="none"/>
              </w:rPr>
              <w:t>3.</w:t>
            </w:r>
            <w:r>
              <w:rPr>
                <w:rFonts w:hint="eastAsia" w:cs="仿宋"/>
                <w:kern w:val="2"/>
                <w:highlight w:val="none"/>
              </w:rPr>
              <w:t>本次采购非政府采购。</w:t>
            </w:r>
          </w:p>
          <w:p>
            <w:pPr>
              <w:pStyle w:val="151"/>
              <w:spacing w:line="360" w:lineRule="auto"/>
              <w:ind w:firstLine="240" w:firstLineChars="100"/>
              <w:rPr>
                <w:rFonts w:cs="仿宋"/>
                <w:kern w:val="2"/>
                <w:highlight w:val="none"/>
              </w:rPr>
            </w:pPr>
            <w:r>
              <w:rPr>
                <w:rFonts w:cs="仿宋"/>
                <w:kern w:val="2"/>
                <w:highlight w:val="none"/>
              </w:rPr>
              <w:t>4</w:t>
            </w:r>
            <w:r>
              <w:rPr>
                <w:rFonts w:hint="eastAsia" w:cs="仿宋"/>
                <w:kern w:val="2"/>
                <w:highlight w:val="none"/>
              </w:rPr>
              <w:t>.各潜在供应商在采购过程中有相关咨询事项的，应注意其自身身份的保密，若因供应商自身原因，造成其谈判信息泄漏的，由其承担相应责任。</w:t>
            </w:r>
          </w:p>
          <w:p>
            <w:pPr>
              <w:pStyle w:val="151"/>
              <w:spacing w:line="360" w:lineRule="auto"/>
              <w:ind w:firstLine="240" w:firstLineChars="100"/>
              <w:rPr>
                <w:rFonts w:cs="仿宋"/>
                <w:highlight w:val="none"/>
                <w:lang w:val="zh-CN"/>
              </w:rPr>
            </w:pPr>
            <w:r>
              <w:rPr>
                <w:rFonts w:cs="仿宋"/>
                <w:highlight w:val="none"/>
                <w:lang w:val="zh-CN"/>
              </w:rPr>
              <w:t>5</w:t>
            </w:r>
            <w:r>
              <w:rPr>
                <w:rFonts w:hint="eastAsia" w:cs="仿宋"/>
                <w:highlight w:val="none"/>
                <w:lang w:val="zh-CN"/>
              </w:rPr>
              <w:t>．</w:t>
            </w:r>
            <w:r>
              <w:rPr>
                <w:rFonts w:cs="仿宋"/>
                <w:highlight w:val="none"/>
                <w:lang w:val="zh-CN"/>
              </w:rPr>
              <w:t>供应商对</w:t>
            </w:r>
            <w:r>
              <w:rPr>
                <w:rFonts w:hint="eastAsia" w:cs="仿宋"/>
                <w:highlight w:val="none"/>
                <w:lang w:val="zh-CN"/>
              </w:rPr>
              <w:t>谈判</w:t>
            </w:r>
            <w:r>
              <w:rPr>
                <w:rFonts w:cs="仿宋"/>
                <w:highlight w:val="none"/>
                <w:lang w:val="zh-CN"/>
              </w:rPr>
              <w:t>文件咨询</w:t>
            </w:r>
          </w:p>
          <w:p>
            <w:pPr>
              <w:pStyle w:val="151"/>
              <w:spacing w:line="360" w:lineRule="auto"/>
              <w:ind w:firstLine="240" w:firstLineChars="100"/>
              <w:rPr>
                <w:rFonts w:cs="仿宋"/>
                <w:highlight w:val="none"/>
                <w:lang w:val="zh-CN"/>
              </w:rPr>
            </w:pPr>
            <w:r>
              <w:rPr>
                <w:rFonts w:hint="eastAsia" w:cs="仿宋"/>
                <w:highlight w:val="none"/>
                <w:lang w:val="zh-CN"/>
              </w:rPr>
              <w:t>联系人：蒋女士</w:t>
            </w:r>
            <w:r>
              <w:rPr>
                <w:rFonts w:cs="仿宋"/>
                <w:highlight w:val="none"/>
                <w:lang w:val="zh-CN"/>
              </w:rPr>
              <w:t xml:space="preserve">  联系电话： 18180870251</w:t>
            </w:r>
          </w:p>
        </w:tc>
      </w:tr>
    </w:tbl>
    <w:p>
      <w:pPr>
        <w:adjustRightInd w:val="0"/>
        <w:snapToGrid w:val="0"/>
        <w:spacing w:line="360" w:lineRule="auto"/>
        <w:ind w:firstLine="480" w:firstLineChars="200"/>
        <w:rPr>
          <w:rFonts w:cs="仿宋"/>
          <w:highlight w:val="none"/>
        </w:rPr>
      </w:pPr>
      <w:bookmarkStart w:id="33" w:name="_Toc183582205"/>
      <w:bookmarkStart w:id="34" w:name="_Toc183682342"/>
      <w:bookmarkStart w:id="35" w:name="_Toc217446034"/>
      <w:r>
        <w:rPr>
          <w:rFonts w:hint="eastAsia" w:cs="仿宋"/>
          <w:highlight w:val="none"/>
        </w:rPr>
        <w:br w:type="page"/>
      </w:r>
    </w:p>
    <w:p>
      <w:pPr>
        <w:pStyle w:val="4"/>
        <w:keepNext w:val="0"/>
        <w:keepLines w:val="0"/>
        <w:widowControl/>
        <w:numPr>
          <w:ilvl w:val="0"/>
          <w:numId w:val="2"/>
        </w:numPr>
        <w:adjustRightInd w:val="0"/>
        <w:snapToGrid w:val="0"/>
        <w:spacing w:before="0" w:after="0" w:line="360" w:lineRule="auto"/>
        <w:rPr>
          <w:rFonts w:ascii="宋体" w:hAnsi="宋体" w:eastAsia="宋体" w:cs="仿宋"/>
          <w:highlight w:val="none"/>
        </w:rPr>
      </w:pPr>
      <w:r>
        <w:rPr>
          <w:rFonts w:hint="eastAsia" w:ascii="宋体" w:hAnsi="宋体" w:eastAsia="宋体" w:cs="仿宋"/>
          <w:highlight w:val="none"/>
        </w:rPr>
        <w:t>总则</w:t>
      </w:r>
    </w:p>
    <w:p>
      <w:pPr>
        <w:pStyle w:val="5"/>
        <w:widowControl/>
        <w:adjustRightInd w:val="0"/>
        <w:snapToGrid w:val="0"/>
        <w:spacing w:before="0" w:after="0" w:line="360" w:lineRule="auto"/>
        <w:ind w:firstLine="480" w:firstLineChars="200"/>
        <w:rPr>
          <w:rFonts w:ascii="宋体" w:hAnsi="宋体" w:cs="仿宋"/>
          <w:highlight w:val="none"/>
        </w:rPr>
      </w:pPr>
      <w:r>
        <w:rPr>
          <w:rFonts w:hint="eastAsia" w:ascii="宋体" w:hAnsi="宋体" w:cs="仿宋"/>
          <w:highlight w:val="none"/>
        </w:rPr>
        <w:t>1.</w:t>
      </w:r>
      <w:bookmarkEnd w:id="33"/>
      <w:bookmarkEnd w:id="34"/>
      <w:r>
        <w:rPr>
          <w:rFonts w:hint="eastAsia" w:ascii="宋体" w:hAnsi="宋体" w:cs="仿宋"/>
          <w:szCs w:val="24"/>
          <w:highlight w:val="none"/>
        </w:rPr>
        <w:t>适用范围</w:t>
      </w:r>
      <w:bookmarkEnd w:id="35"/>
    </w:p>
    <w:p>
      <w:pPr>
        <w:widowControl w:val="0"/>
        <w:tabs>
          <w:tab w:val="left" w:pos="7665"/>
        </w:tabs>
        <w:adjustRightInd w:val="0"/>
        <w:snapToGrid w:val="0"/>
        <w:spacing w:line="360" w:lineRule="auto"/>
        <w:ind w:firstLine="480" w:firstLineChars="200"/>
        <w:jc w:val="both"/>
        <w:rPr>
          <w:rFonts w:cs="仿宋"/>
          <w:kern w:val="2"/>
          <w:highlight w:val="none"/>
          <w:lang w:bidi="ar"/>
        </w:rPr>
      </w:pPr>
      <w:r>
        <w:rPr>
          <w:rFonts w:hint="eastAsia" w:cs="仿宋"/>
          <w:kern w:val="2"/>
          <w:highlight w:val="none"/>
          <w:lang w:bidi="ar"/>
        </w:rPr>
        <w:t>1.1 本竞争性谈判文件仅适用于本次竞争性谈判采购项目。</w:t>
      </w:r>
    </w:p>
    <w:p>
      <w:pPr>
        <w:widowControl w:val="0"/>
        <w:tabs>
          <w:tab w:val="left" w:pos="7665"/>
        </w:tabs>
        <w:adjustRightInd w:val="0"/>
        <w:snapToGrid w:val="0"/>
        <w:spacing w:line="360" w:lineRule="auto"/>
        <w:ind w:firstLine="480" w:firstLineChars="200"/>
        <w:jc w:val="both"/>
        <w:rPr>
          <w:rFonts w:cs="仿宋"/>
          <w:highlight w:val="none"/>
        </w:rPr>
      </w:pPr>
      <w:r>
        <w:rPr>
          <w:rFonts w:hint="eastAsia" w:cs="仿宋"/>
          <w:kern w:val="2"/>
          <w:highlight w:val="none"/>
          <w:lang w:bidi="ar"/>
        </w:rPr>
        <w:t>1</w:t>
      </w:r>
      <w:r>
        <w:rPr>
          <w:rFonts w:cs="仿宋"/>
          <w:kern w:val="2"/>
          <w:highlight w:val="none"/>
          <w:lang w:bidi="ar"/>
        </w:rPr>
        <w:t xml:space="preserve">.2 </w:t>
      </w:r>
      <w:r>
        <w:rPr>
          <w:rFonts w:hint="eastAsia" w:cs="仿宋"/>
          <w:kern w:val="2"/>
          <w:highlight w:val="none"/>
          <w:lang w:bidi="ar"/>
        </w:rPr>
        <w:t>本竞争性谈判文件的解释权归采购人和采购代理机构所有。</w:t>
      </w:r>
    </w:p>
    <w:p>
      <w:pPr>
        <w:pStyle w:val="5"/>
        <w:widowControl/>
        <w:adjustRightInd w:val="0"/>
        <w:snapToGrid w:val="0"/>
        <w:spacing w:before="0" w:after="0" w:line="360" w:lineRule="auto"/>
        <w:ind w:firstLine="480" w:firstLineChars="200"/>
        <w:rPr>
          <w:rFonts w:ascii="宋体" w:hAnsi="宋体" w:cs="仿宋"/>
          <w:highlight w:val="none"/>
        </w:rPr>
      </w:pPr>
      <w:bookmarkStart w:id="36" w:name="_Toc183582206"/>
      <w:bookmarkStart w:id="37" w:name="_Toc183682343"/>
      <w:bookmarkStart w:id="38" w:name="_Toc217446035"/>
      <w:r>
        <w:rPr>
          <w:rFonts w:hint="eastAsia" w:ascii="宋体" w:hAnsi="宋体" w:cs="仿宋"/>
          <w:highlight w:val="none"/>
        </w:rPr>
        <w:t>2.</w:t>
      </w:r>
      <w:bookmarkEnd w:id="36"/>
      <w:bookmarkEnd w:id="37"/>
      <w:r>
        <w:rPr>
          <w:rFonts w:hint="eastAsia" w:ascii="宋体" w:hAnsi="宋体" w:cs="仿宋"/>
          <w:highlight w:val="none"/>
        </w:rPr>
        <w:t>有关</w:t>
      </w:r>
      <w:r>
        <w:rPr>
          <w:rFonts w:hint="eastAsia" w:ascii="宋体" w:hAnsi="宋体" w:cs="仿宋"/>
          <w:szCs w:val="24"/>
          <w:highlight w:val="none"/>
        </w:rPr>
        <w:t>定义</w:t>
      </w:r>
      <w:bookmarkEnd w:id="38"/>
    </w:p>
    <w:p>
      <w:pPr>
        <w:widowControl w:val="0"/>
        <w:tabs>
          <w:tab w:val="left" w:pos="7665"/>
        </w:tabs>
        <w:adjustRightInd w:val="0"/>
        <w:snapToGrid w:val="0"/>
        <w:spacing w:line="360" w:lineRule="auto"/>
        <w:ind w:firstLine="480" w:firstLineChars="200"/>
        <w:jc w:val="both"/>
        <w:rPr>
          <w:rFonts w:cs="仿宋"/>
          <w:highlight w:val="none"/>
        </w:rPr>
      </w:pPr>
      <w:r>
        <w:rPr>
          <w:rFonts w:hint="eastAsia" w:cs="仿宋"/>
          <w:kern w:val="2"/>
          <w:highlight w:val="none"/>
          <w:lang w:bidi="ar"/>
        </w:rPr>
        <w:t>2.1 “采购人”是</w:t>
      </w:r>
      <w:r>
        <w:rPr>
          <w:rFonts w:hint="eastAsia" w:cs="仿宋"/>
          <w:b/>
          <w:bCs/>
          <w:kern w:val="2"/>
          <w:highlight w:val="none"/>
          <w:u w:val="single"/>
          <w:lang w:bidi="ar"/>
        </w:rPr>
        <w:t>什邡国润供水有限公司</w:t>
      </w:r>
      <w:r>
        <w:rPr>
          <w:rFonts w:hint="eastAsia" w:cs="仿宋"/>
          <w:kern w:val="2"/>
          <w:highlight w:val="none"/>
          <w:lang w:bidi="ar"/>
        </w:rPr>
        <w:t>。</w:t>
      </w:r>
    </w:p>
    <w:p>
      <w:pPr>
        <w:widowControl w:val="0"/>
        <w:tabs>
          <w:tab w:val="left" w:pos="7665"/>
        </w:tabs>
        <w:adjustRightInd w:val="0"/>
        <w:snapToGrid w:val="0"/>
        <w:spacing w:line="360" w:lineRule="auto"/>
        <w:ind w:firstLine="480" w:firstLineChars="200"/>
        <w:jc w:val="both"/>
        <w:rPr>
          <w:rFonts w:cs="仿宋"/>
          <w:highlight w:val="none"/>
        </w:rPr>
      </w:pPr>
      <w:r>
        <w:rPr>
          <w:rFonts w:hint="eastAsia" w:cs="仿宋"/>
          <w:kern w:val="2"/>
          <w:highlight w:val="none"/>
          <w:lang w:bidi="ar"/>
        </w:rPr>
        <w:t>2.2 “采购代理机构”是</w:t>
      </w:r>
      <w:r>
        <w:rPr>
          <w:rFonts w:hint="eastAsia" w:cs="仿宋"/>
          <w:b/>
          <w:bCs/>
          <w:kern w:val="2"/>
          <w:highlight w:val="none"/>
          <w:u w:val="single"/>
          <w:lang w:bidi="ar"/>
        </w:rPr>
        <w:t>西南联合产权交易所有限责任公司。</w:t>
      </w:r>
    </w:p>
    <w:p>
      <w:pPr>
        <w:widowControl w:val="0"/>
        <w:tabs>
          <w:tab w:val="left" w:pos="7665"/>
        </w:tabs>
        <w:adjustRightInd w:val="0"/>
        <w:snapToGrid w:val="0"/>
        <w:spacing w:line="360" w:lineRule="auto"/>
        <w:ind w:firstLine="480" w:firstLineChars="200"/>
        <w:jc w:val="both"/>
        <w:rPr>
          <w:rFonts w:cs="仿宋"/>
          <w:highlight w:val="none"/>
        </w:rPr>
      </w:pPr>
      <w:r>
        <w:rPr>
          <w:rFonts w:hint="eastAsia" w:cs="仿宋"/>
          <w:kern w:val="2"/>
          <w:highlight w:val="none"/>
          <w:lang w:bidi="ar"/>
        </w:rPr>
        <w:t>2.3 “供应商”系购买了竞争性谈判文件拟参加谈判和拟向采购人提供货物、工程及相应服务的供应商统称。</w:t>
      </w:r>
    </w:p>
    <w:p>
      <w:pPr>
        <w:pStyle w:val="5"/>
        <w:widowControl/>
        <w:adjustRightInd w:val="0"/>
        <w:snapToGrid w:val="0"/>
        <w:spacing w:before="0" w:after="0" w:line="360" w:lineRule="auto"/>
        <w:ind w:firstLine="480" w:firstLineChars="200"/>
        <w:rPr>
          <w:rFonts w:ascii="宋体" w:hAnsi="宋体" w:cs="仿宋"/>
          <w:highlight w:val="none"/>
        </w:rPr>
      </w:pPr>
      <w:bookmarkStart w:id="39" w:name="_Toc183682344"/>
      <w:bookmarkStart w:id="40" w:name="_Toc217446036"/>
      <w:bookmarkStart w:id="41" w:name="_Toc217390843"/>
      <w:bookmarkStart w:id="42" w:name="_Toc183582207"/>
      <w:r>
        <w:rPr>
          <w:rFonts w:hint="eastAsia" w:ascii="宋体" w:hAnsi="宋体" w:cs="仿宋"/>
          <w:highlight w:val="none"/>
        </w:rPr>
        <w:t>3. 合格的</w:t>
      </w:r>
      <w:bookmarkEnd w:id="39"/>
      <w:bookmarkEnd w:id="40"/>
      <w:bookmarkEnd w:id="41"/>
      <w:bookmarkEnd w:id="42"/>
      <w:r>
        <w:rPr>
          <w:rFonts w:hint="eastAsia" w:ascii="宋体" w:hAnsi="宋体" w:cs="仿宋"/>
          <w:highlight w:val="none"/>
        </w:rPr>
        <w:t>供应商</w:t>
      </w:r>
    </w:p>
    <w:p>
      <w:pPr>
        <w:widowControl w:val="0"/>
        <w:tabs>
          <w:tab w:val="left" w:pos="7665"/>
        </w:tabs>
        <w:adjustRightInd w:val="0"/>
        <w:snapToGrid w:val="0"/>
        <w:spacing w:line="360" w:lineRule="auto"/>
        <w:ind w:firstLine="480" w:firstLineChars="200"/>
        <w:jc w:val="both"/>
        <w:rPr>
          <w:rFonts w:cs="仿宋"/>
          <w:highlight w:val="none"/>
        </w:rPr>
      </w:pPr>
      <w:r>
        <w:rPr>
          <w:rFonts w:hint="eastAsia" w:cs="仿宋"/>
          <w:kern w:val="2"/>
          <w:highlight w:val="none"/>
          <w:lang w:bidi="ar"/>
        </w:rPr>
        <w:t>合格的供应商应具备以下条件：</w:t>
      </w:r>
    </w:p>
    <w:p>
      <w:pPr>
        <w:widowControl w:val="0"/>
        <w:tabs>
          <w:tab w:val="left" w:pos="7665"/>
        </w:tabs>
        <w:adjustRightInd w:val="0"/>
        <w:snapToGrid w:val="0"/>
        <w:spacing w:line="360" w:lineRule="auto"/>
        <w:ind w:firstLine="480" w:firstLineChars="200"/>
        <w:jc w:val="both"/>
        <w:rPr>
          <w:rFonts w:cs="仿宋"/>
          <w:spacing w:val="-4"/>
          <w:highlight w:val="none"/>
        </w:rPr>
      </w:pPr>
      <w:r>
        <w:rPr>
          <w:rFonts w:hint="eastAsia" w:cs="仿宋"/>
          <w:kern w:val="2"/>
          <w:highlight w:val="none"/>
          <w:lang w:bidi="ar"/>
        </w:rPr>
        <w:t>（1）本竞争性谈判文件规定的供应商资格条件</w:t>
      </w:r>
      <w:r>
        <w:rPr>
          <w:rFonts w:hint="eastAsia" w:cs="仿宋"/>
          <w:spacing w:val="-4"/>
          <w:kern w:val="2"/>
          <w:highlight w:val="none"/>
          <w:lang w:bidi="ar"/>
        </w:rPr>
        <w:t>；</w:t>
      </w:r>
    </w:p>
    <w:p>
      <w:pPr>
        <w:widowControl w:val="0"/>
        <w:tabs>
          <w:tab w:val="left" w:pos="7665"/>
        </w:tabs>
        <w:adjustRightInd w:val="0"/>
        <w:snapToGrid w:val="0"/>
        <w:spacing w:line="360" w:lineRule="auto"/>
        <w:jc w:val="both"/>
        <w:rPr>
          <w:rFonts w:cs="仿宋"/>
          <w:highlight w:val="none"/>
        </w:rPr>
      </w:pPr>
      <w:r>
        <w:rPr>
          <w:rFonts w:hint="eastAsia" w:cs="仿宋"/>
          <w:kern w:val="2"/>
          <w:highlight w:val="none"/>
          <w:lang w:bidi="ar"/>
        </w:rPr>
        <w:t xml:space="preserve">    （2）向采购代理机构购买竞争性谈判文件并成功报名；</w:t>
      </w:r>
    </w:p>
    <w:p>
      <w:pPr>
        <w:widowControl w:val="0"/>
        <w:tabs>
          <w:tab w:val="left" w:pos="7665"/>
        </w:tabs>
        <w:adjustRightInd w:val="0"/>
        <w:snapToGrid w:val="0"/>
        <w:spacing w:line="360" w:lineRule="auto"/>
        <w:ind w:firstLine="480" w:firstLineChars="200"/>
        <w:jc w:val="both"/>
        <w:rPr>
          <w:rFonts w:cs="仿宋"/>
          <w:highlight w:val="none"/>
        </w:rPr>
      </w:pPr>
      <w:r>
        <w:rPr>
          <w:rFonts w:hint="eastAsia" w:cs="仿宋"/>
          <w:kern w:val="2"/>
          <w:highlight w:val="none"/>
          <w:lang w:bidi="ar"/>
        </w:rPr>
        <w:t xml:space="preserve">（3）遵守国家有关的法律、法规、规章和其他政策制度； </w:t>
      </w:r>
    </w:p>
    <w:p>
      <w:pPr>
        <w:pStyle w:val="5"/>
        <w:widowControl/>
        <w:adjustRightInd w:val="0"/>
        <w:snapToGrid w:val="0"/>
        <w:spacing w:before="0" w:after="0" w:line="360" w:lineRule="auto"/>
        <w:ind w:firstLine="480" w:firstLineChars="200"/>
        <w:rPr>
          <w:rFonts w:ascii="宋体" w:hAnsi="宋体" w:cs="仿宋"/>
          <w:highlight w:val="none"/>
        </w:rPr>
      </w:pPr>
      <w:bookmarkStart w:id="43" w:name="_Toc217446037"/>
      <w:bookmarkStart w:id="44" w:name="_Toc183682345"/>
      <w:bookmarkStart w:id="45" w:name="_Toc183582208"/>
      <w:r>
        <w:rPr>
          <w:rFonts w:hint="eastAsia" w:ascii="宋体" w:hAnsi="宋体" w:cs="仿宋"/>
          <w:highlight w:val="none"/>
        </w:rPr>
        <w:t>4. 谈判费用</w:t>
      </w:r>
      <w:bookmarkEnd w:id="43"/>
      <w:bookmarkEnd w:id="44"/>
      <w:bookmarkEnd w:id="45"/>
    </w:p>
    <w:p>
      <w:pPr>
        <w:widowControl w:val="0"/>
        <w:tabs>
          <w:tab w:val="left" w:pos="7665"/>
        </w:tabs>
        <w:adjustRightInd w:val="0"/>
        <w:snapToGrid w:val="0"/>
        <w:spacing w:line="360" w:lineRule="auto"/>
        <w:ind w:firstLine="480"/>
        <w:jc w:val="both"/>
        <w:rPr>
          <w:rFonts w:cs="仿宋"/>
          <w:highlight w:val="none"/>
        </w:rPr>
      </w:pPr>
      <w:r>
        <w:rPr>
          <w:rFonts w:hint="eastAsia" w:cs="仿宋"/>
          <w:kern w:val="2"/>
          <w:highlight w:val="none"/>
          <w:lang w:bidi="ar"/>
        </w:rPr>
        <w:t>供应商参加谈判活动的有关费用由供应商自行承担。</w:t>
      </w:r>
    </w:p>
    <w:p>
      <w:pPr>
        <w:pStyle w:val="5"/>
        <w:widowControl/>
        <w:numPr>
          <w:ilvl w:val="0"/>
          <w:numId w:val="3"/>
        </w:numPr>
        <w:adjustRightInd w:val="0"/>
        <w:snapToGrid w:val="0"/>
        <w:spacing w:before="0" w:after="0" w:line="360" w:lineRule="auto"/>
        <w:ind w:firstLine="480" w:firstLineChars="200"/>
        <w:rPr>
          <w:rFonts w:ascii="宋体" w:hAnsi="宋体" w:cs="仿宋"/>
          <w:szCs w:val="24"/>
          <w:highlight w:val="none"/>
        </w:rPr>
      </w:pPr>
      <w:r>
        <w:rPr>
          <w:rFonts w:hint="eastAsia" w:ascii="宋体" w:hAnsi="宋体" w:cs="仿宋"/>
          <w:highlight w:val="none"/>
        </w:rPr>
        <w:t>充分、公平竞争保障措施</w:t>
      </w:r>
      <w:r>
        <w:rPr>
          <w:rFonts w:hint="eastAsia" w:ascii="宋体" w:hAnsi="宋体" w:cs="仿宋"/>
          <w:szCs w:val="24"/>
          <w:highlight w:val="none"/>
        </w:rPr>
        <w:t>（实质性要求）</w:t>
      </w:r>
    </w:p>
    <w:p>
      <w:pPr>
        <w:pStyle w:val="166"/>
        <w:spacing w:line="360" w:lineRule="auto"/>
        <w:ind w:left="1" w:firstLine="480" w:firstLineChars="200"/>
        <w:rPr>
          <w:rFonts w:hAnsi="宋体" w:cs="Times New Roman"/>
          <w:sz w:val="28"/>
          <w:szCs w:val="28"/>
          <w:highlight w:val="none"/>
        </w:rPr>
      </w:pPr>
      <w:r>
        <w:rPr>
          <w:rFonts w:hAnsi="宋体" w:cs="仿宋"/>
          <w:sz w:val="24"/>
          <w:szCs w:val="24"/>
          <w:highlight w:val="none"/>
        </w:rPr>
        <w:t>5.1</w:t>
      </w:r>
      <w:r>
        <w:rPr>
          <w:rFonts w:hint="eastAsia" w:hAnsi="宋体" w:cs="仿宋"/>
          <w:sz w:val="24"/>
          <w:szCs w:val="24"/>
          <w:highlight w:val="none"/>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166"/>
        <w:spacing w:line="360" w:lineRule="auto"/>
        <w:ind w:left="1" w:firstLine="480" w:firstLineChars="200"/>
        <w:rPr>
          <w:rFonts w:hAnsi="宋体" w:cs="Times New Roman"/>
          <w:sz w:val="24"/>
          <w:szCs w:val="24"/>
          <w:highlight w:val="none"/>
        </w:rPr>
      </w:pPr>
      <w:r>
        <w:rPr>
          <w:rFonts w:hAnsi="宋体" w:cs="仿宋"/>
          <w:sz w:val="24"/>
          <w:szCs w:val="24"/>
          <w:highlight w:val="none"/>
        </w:rPr>
        <w:t>5.2</w:t>
      </w:r>
      <w:r>
        <w:rPr>
          <w:rFonts w:hint="eastAsia" w:hAnsi="宋体" w:cs="仿宋"/>
          <w:sz w:val="24"/>
          <w:szCs w:val="24"/>
          <w:highlight w:val="none"/>
        </w:rPr>
        <w:t>利害关系授权代表处理。两家以上的供应商不得在同一合同项下的采购项目中，委托同一个自然人、同一家庭的人员、同一单位的人员作为其授权代表，否则，其响应文件作为无效处理。</w:t>
      </w:r>
    </w:p>
    <w:p>
      <w:pPr>
        <w:pStyle w:val="166"/>
        <w:spacing w:line="360" w:lineRule="auto"/>
        <w:ind w:left="1" w:firstLine="480" w:firstLineChars="200"/>
        <w:rPr>
          <w:rFonts w:hAnsi="宋体" w:cs="Times New Roman"/>
          <w:sz w:val="24"/>
          <w:szCs w:val="24"/>
          <w:highlight w:val="none"/>
        </w:rPr>
      </w:pPr>
      <w:r>
        <w:rPr>
          <w:rFonts w:hAnsi="宋体" w:cs="仿宋"/>
          <w:sz w:val="24"/>
          <w:szCs w:val="24"/>
          <w:highlight w:val="none"/>
        </w:rPr>
        <w:t>5.3</w:t>
      </w:r>
      <w:r>
        <w:rPr>
          <w:rFonts w:hint="eastAsia" w:hAnsi="宋体" w:cs="仿宋"/>
          <w:sz w:val="24"/>
          <w:szCs w:val="24"/>
          <w:highlight w:val="none"/>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166"/>
        <w:spacing w:line="360" w:lineRule="auto"/>
        <w:ind w:left="1" w:firstLine="480" w:firstLineChars="200"/>
        <w:rPr>
          <w:rFonts w:hAnsi="宋体" w:cs="Times New Roman"/>
          <w:sz w:val="24"/>
          <w:szCs w:val="24"/>
          <w:highlight w:val="none"/>
        </w:rPr>
      </w:pPr>
      <w:r>
        <w:rPr>
          <w:rFonts w:hAnsi="宋体" w:cs="仿宋"/>
          <w:sz w:val="24"/>
          <w:szCs w:val="24"/>
          <w:highlight w:val="none"/>
        </w:rPr>
        <w:t>5.4</w:t>
      </w:r>
      <w:r>
        <w:rPr>
          <w:rFonts w:hint="eastAsia" w:hAnsi="宋体" w:cs="仿宋"/>
          <w:sz w:val="24"/>
          <w:szCs w:val="24"/>
          <w:highlight w:val="none"/>
        </w:rPr>
        <w:t>供应商实际控制人或者中高级管理人员，同时是采购代理机构工作人员，不得参与本项目采购活动。</w:t>
      </w:r>
    </w:p>
    <w:p>
      <w:pPr>
        <w:spacing w:line="360" w:lineRule="auto"/>
        <w:ind w:firstLine="480" w:firstLineChars="200"/>
        <w:rPr>
          <w:highlight w:val="none"/>
        </w:rPr>
      </w:pPr>
      <w:r>
        <w:rPr>
          <w:rFonts w:cs="仿宋"/>
          <w:highlight w:val="none"/>
        </w:rPr>
        <w:t>5.5</w:t>
      </w:r>
      <w:r>
        <w:rPr>
          <w:rFonts w:hint="eastAsia" w:cs="仿宋"/>
          <w:highlight w:val="none"/>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highlight w:val="none"/>
        </w:rPr>
      </w:pPr>
      <w:r>
        <w:rPr>
          <w:rFonts w:cs="仿宋"/>
          <w:highlight w:val="none"/>
        </w:rPr>
        <w:t>5.6</w:t>
      </w:r>
      <w:r>
        <w:rPr>
          <w:rFonts w:hint="eastAsia" w:cs="仿宋"/>
          <w:highlight w:val="none"/>
        </w:rPr>
        <w:t>供应商与采购代理机构存在关联关系，或者是采购代理机构的母公司或子公司，不得参加本项目采购活动。</w:t>
      </w:r>
    </w:p>
    <w:p>
      <w:pPr>
        <w:pStyle w:val="166"/>
        <w:spacing w:line="360" w:lineRule="auto"/>
        <w:ind w:left="1" w:firstLine="480" w:firstLineChars="200"/>
        <w:rPr>
          <w:rFonts w:hAnsi="宋体" w:cs="Times New Roman"/>
          <w:sz w:val="24"/>
          <w:szCs w:val="24"/>
          <w:highlight w:val="none"/>
        </w:rPr>
      </w:pPr>
      <w:r>
        <w:rPr>
          <w:rFonts w:hAnsi="宋体" w:cs="仿宋"/>
          <w:sz w:val="24"/>
          <w:szCs w:val="24"/>
          <w:highlight w:val="none"/>
        </w:rPr>
        <w:t>5.7</w:t>
      </w:r>
      <w:r>
        <w:rPr>
          <w:rFonts w:hint="eastAsia" w:hAnsi="宋体" w:cs="仿宋"/>
          <w:sz w:val="24"/>
          <w:szCs w:val="24"/>
          <w:highlight w:val="none"/>
        </w:rPr>
        <w:t>回避。采购活动中，采购人员及相关人员与供应商有下列利害关系之一的，应当回避：</w:t>
      </w:r>
    </w:p>
    <w:p>
      <w:pPr>
        <w:pStyle w:val="166"/>
        <w:spacing w:line="360" w:lineRule="auto"/>
        <w:ind w:left="1" w:firstLine="480" w:firstLineChars="200"/>
        <w:rPr>
          <w:rFonts w:hAnsi="宋体" w:cs="Times New Roman"/>
          <w:sz w:val="24"/>
          <w:szCs w:val="24"/>
          <w:highlight w:val="none"/>
        </w:rPr>
      </w:pPr>
      <w:r>
        <w:rPr>
          <w:rFonts w:hint="eastAsia" w:hAnsi="宋体" w:cs="仿宋"/>
          <w:sz w:val="24"/>
          <w:szCs w:val="24"/>
          <w:highlight w:val="none"/>
        </w:rPr>
        <w:t>（</w:t>
      </w:r>
      <w:r>
        <w:rPr>
          <w:rFonts w:hAnsi="宋体" w:cs="仿宋"/>
          <w:sz w:val="24"/>
          <w:szCs w:val="24"/>
          <w:highlight w:val="none"/>
        </w:rPr>
        <w:t>1</w:t>
      </w:r>
      <w:r>
        <w:rPr>
          <w:rFonts w:hint="eastAsia" w:hAnsi="宋体" w:cs="仿宋"/>
          <w:sz w:val="24"/>
          <w:szCs w:val="24"/>
          <w:highlight w:val="none"/>
        </w:rPr>
        <w:t>）参加采购活动前</w:t>
      </w:r>
      <w:r>
        <w:rPr>
          <w:rFonts w:hAnsi="宋体" w:cs="仿宋"/>
          <w:sz w:val="24"/>
          <w:szCs w:val="24"/>
          <w:highlight w:val="none"/>
        </w:rPr>
        <w:t>3</w:t>
      </w:r>
      <w:r>
        <w:rPr>
          <w:rFonts w:hint="eastAsia" w:hAnsi="宋体" w:cs="仿宋"/>
          <w:sz w:val="24"/>
          <w:szCs w:val="24"/>
          <w:highlight w:val="none"/>
        </w:rPr>
        <w:t>年内与供应商存在劳动关系；</w:t>
      </w:r>
    </w:p>
    <w:p>
      <w:pPr>
        <w:pStyle w:val="166"/>
        <w:spacing w:line="360" w:lineRule="auto"/>
        <w:ind w:left="1" w:firstLine="480" w:firstLineChars="200"/>
        <w:rPr>
          <w:rFonts w:hAnsi="宋体" w:cs="Times New Roman"/>
          <w:sz w:val="24"/>
          <w:szCs w:val="24"/>
          <w:highlight w:val="none"/>
        </w:rPr>
      </w:pPr>
      <w:r>
        <w:rPr>
          <w:rFonts w:hint="eastAsia" w:hAnsi="宋体" w:cs="仿宋"/>
          <w:sz w:val="24"/>
          <w:szCs w:val="24"/>
          <w:highlight w:val="none"/>
        </w:rPr>
        <w:t>（</w:t>
      </w:r>
      <w:r>
        <w:rPr>
          <w:rFonts w:hAnsi="宋体" w:cs="仿宋"/>
          <w:sz w:val="24"/>
          <w:szCs w:val="24"/>
          <w:highlight w:val="none"/>
        </w:rPr>
        <w:t>2</w:t>
      </w:r>
      <w:r>
        <w:rPr>
          <w:rFonts w:hint="eastAsia" w:hAnsi="宋体" w:cs="仿宋"/>
          <w:sz w:val="24"/>
          <w:szCs w:val="24"/>
          <w:highlight w:val="none"/>
        </w:rPr>
        <w:t>）参加采购活动前</w:t>
      </w:r>
      <w:r>
        <w:rPr>
          <w:rFonts w:hAnsi="宋体" w:cs="仿宋"/>
          <w:sz w:val="24"/>
          <w:szCs w:val="24"/>
          <w:highlight w:val="none"/>
        </w:rPr>
        <w:t>3</w:t>
      </w:r>
      <w:r>
        <w:rPr>
          <w:rFonts w:hint="eastAsia" w:hAnsi="宋体" w:cs="仿宋"/>
          <w:sz w:val="24"/>
          <w:szCs w:val="24"/>
          <w:highlight w:val="none"/>
        </w:rPr>
        <w:t>年内担任供应商的董事、监事；</w:t>
      </w:r>
    </w:p>
    <w:p>
      <w:pPr>
        <w:pStyle w:val="166"/>
        <w:spacing w:line="360" w:lineRule="auto"/>
        <w:ind w:left="1" w:firstLine="480" w:firstLineChars="200"/>
        <w:rPr>
          <w:rFonts w:hAnsi="宋体" w:cs="Times New Roman"/>
          <w:sz w:val="24"/>
          <w:szCs w:val="24"/>
          <w:highlight w:val="none"/>
        </w:rPr>
      </w:pPr>
      <w:r>
        <w:rPr>
          <w:rFonts w:hint="eastAsia" w:hAnsi="宋体" w:cs="仿宋"/>
          <w:sz w:val="24"/>
          <w:szCs w:val="24"/>
          <w:highlight w:val="none"/>
        </w:rPr>
        <w:t>（</w:t>
      </w:r>
      <w:r>
        <w:rPr>
          <w:rFonts w:hAnsi="宋体" w:cs="仿宋"/>
          <w:sz w:val="24"/>
          <w:szCs w:val="24"/>
          <w:highlight w:val="none"/>
        </w:rPr>
        <w:t>3</w:t>
      </w:r>
      <w:r>
        <w:rPr>
          <w:rFonts w:hint="eastAsia" w:hAnsi="宋体" w:cs="仿宋"/>
          <w:sz w:val="24"/>
          <w:szCs w:val="24"/>
          <w:highlight w:val="none"/>
        </w:rPr>
        <w:t>）参加采购活动前</w:t>
      </w:r>
      <w:r>
        <w:rPr>
          <w:rFonts w:hAnsi="宋体" w:cs="仿宋"/>
          <w:sz w:val="24"/>
          <w:szCs w:val="24"/>
          <w:highlight w:val="none"/>
        </w:rPr>
        <w:t>3</w:t>
      </w:r>
      <w:r>
        <w:rPr>
          <w:rFonts w:hint="eastAsia" w:hAnsi="宋体" w:cs="仿宋"/>
          <w:sz w:val="24"/>
          <w:szCs w:val="24"/>
          <w:highlight w:val="none"/>
        </w:rPr>
        <w:t>年内是供应商的控股股东或者实际控制人；</w:t>
      </w:r>
    </w:p>
    <w:p>
      <w:pPr>
        <w:pStyle w:val="166"/>
        <w:spacing w:line="360" w:lineRule="auto"/>
        <w:ind w:left="1" w:firstLine="480" w:firstLineChars="200"/>
        <w:rPr>
          <w:rFonts w:hAnsi="宋体" w:cs="Times New Roman"/>
          <w:sz w:val="24"/>
          <w:szCs w:val="24"/>
          <w:highlight w:val="none"/>
        </w:rPr>
      </w:pPr>
      <w:r>
        <w:rPr>
          <w:rFonts w:hint="eastAsia" w:hAnsi="宋体" w:cs="仿宋"/>
          <w:sz w:val="24"/>
          <w:szCs w:val="24"/>
          <w:highlight w:val="none"/>
        </w:rPr>
        <w:t>（</w:t>
      </w:r>
      <w:r>
        <w:rPr>
          <w:rFonts w:hAnsi="宋体" w:cs="仿宋"/>
          <w:sz w:val="24"/>
          <w:szCs w:val="24"/>
          <w:highlight w:val="none"/>
        </w:rPr>
        <w:t>4</w:t>
      </w:r>
      <w:r>
        <w:rPr>
          <w:rFonts w:hint="eastAsia" w:hAnsi="宋体" w:cs="仿宋"/>
          <w:sz w:val="24"/>
          <w:szCs w:val="24"/>
          <w:highlight w:val="none"/>
        </w:rPr>
        <w:t>）与供应商的法定代表人或者负责人有夫妻、直系血亲、三代以内旁系血亲或者近姻亲关系；</w:t>
      </w:r>
    </w:p>
    <w:p>
      <w:pPr>
        <w:pStyle w:val="166"/>
        <w:spacing w:line="360" w:lineRule="auto"/>
        <w:ind w:left="1" w:firstLine="480" w:firstLineChars="200"/>
        <w:rPr>
          <w:rFonts w:hAnsi="宋体" w:cs="Times New Roman"/>
          <w:sz w:val="24"/>
          <w:szCs w:val="24"/>
          <w:highlight w:val="none"/>
        </w:rPr>
      </w:pPr>
      <w:r>
        <w:rPr>
          <w:rFonts w:hint="eastAsia" w:hAnsi="宋体" w:cs="仿宋"/>
          <w:sz w:val="24"/>
          <w:szCs w:val="24"/>
          <w:highlight w:val="none"/>
        </w:rPr>
        <w:t>（</w:t>
      </w:r>
      <w:r>
        <w:rPr>
          <w:rFonts w:hAnsi="宋体" w:cs="仿宋"/>
          <w:sz w:val="24"/>
          <w:szCs w:val="24"/>
          <w:highlight w:val="none"/>
        </w:rPr>
        <w:t>5</w:t>
      </w:r>
      <w:r>
        <w:rPr>
          <w:rFonts w:hint="eastAsia" w:hAnsi="宋体" w:cs="仿宋"/>
          <w:sz w:val="24"/>
          <w:szCs w:val="24"/>
          <w:highlight w:val="none"/>
        </w:rPr>
        <w:t>）与供应商有其他可能影响采购活动公平、公正进行的关系。</w:t>
      </w:r>
    </w:p>
    <w:p>
      <w:pPr>
        <w:pStyle w:val="166"/>
        <w:spacing w:line="360" w:lineRule="auto"/>
        <w:ind w:left="1" w:firstLine="480" w:firstLineChars="200"/>
        <w:rPr>
          <w:rFonts w:hAnsi="宋体" w:cs="仿宋"/>
          <w:sz w:val="24"/>
          <w:szCs w:val="24"/>
          <w:highlight w:val="none"/>
        </w:rPr>
      </w:pPr>
      <w:r>
        <w:rPr>
          <w:rFonts w:hint="eastAsia" w:hAnsi="宋体" w:cs="仿宋"/>
          <w:sz w:val="24"/>
          <w:szCs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委员会成员。</w:t>
      </w:r>
    </w:p>
    <w:p>
      <w:pPr>
        <w:pStyle w:val="166"/>
        <w:spacing w:line="360" w:lineRule="auto"/>
        <w:ind w:left="1" w:firstLine="480" w:firstLineChars="200"/>
        <w:rPr>
          <w:rFonts w:hAnsi="宋体" w:cs="仿宋"/>
          <w:sz w:val="24"/>
          <w:szCs w:val="24"/>
          <w:highlight w:val="none"/>
        </w:rPr>
      </w:pPr>
      <w:r>
        <w:rPr>
          <w:rFonts w:hint="eastAsia" w:hAnsi="宋体" w:cs="仿宋"/>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pacing w:line="360" w:lineRule="auto"/>
        <w:rPr>
          <w:szCs w:val="24"/>
          <w:highlight w:val="none"/>
        </w:rPr>
      </w:pPr>
      <w:bookmarkStart w:id="46" w:name="_Toc96702520"/>
      <w:bookmarkStart w:id="47" w:name="_Toc217446056"/>
      <w:bookmarkStart w:id="48" w:name="_Toc89075878"/>
      <w:bookmarkStart w:id="49" w:name="_Toc183582231"/>
      <w:bookmarkStart w:id="50" w:name="_Toc183682368"/>
      <w:bookmarkStart w:id="51" w:name="_Toc77400782"/>
      <w:bookmarkStart w:id="52" w:name="PO_默认文件内容_26"/>
      <w:r>
        <w:rPr>
          <w:rFonts w:hint="eastAsia"/>
          <w:szCs w:val="24"/>
          <w:highlight w:val="none"/>
        </w:rPr>
        <w:t>6.联合体竞争性谈判（实质性要求）</w:t>
      </w:r>
      <w:bookmarkEnd w:id="46"/>
    </w:p>
    <w:p>
      <w:pPr>
        <w:pStyle w:val="177"/>
        <w:spacing w:line="360" w:lineRule="auto"/>
        <w:ind w:firstLine="240" w:firstLineChars="100"/>
        <w:rPr>
          <w:rFonts w:hAnsi="宋体"/>
          <w:color w:val="000000"/>
          <w:sz w:val="24"/>
          <w:szCs w:val="24"/>
          <w:highlight w:val="none"/>
        </w:rPr>
      </w:pPr>
      <w:r>
        <w:rPr>
          <w:rFonts w:hint="eastAsia" w:hAnsi="宋体"/>
          <w:color w:val="000000"/>
          <w:sz w:val="24"/>
          <w:szCs w:val="24"/>
          <w:highlight w:val="none"/>
        </w:rPr>
        <w:t>本项目不接受联合体参与谈判活动：</w:t>
      </w:r>
    </w:p>
    <w:p>
      <w:pPr>
        <w:pStyle w:val="5"/>
        <w:spacing w:line="360" w:lineRule="auto"/>
        <w:rPr>
          <w:szCs w:val="24"/>
          <w:highlight w:val="none"/>
        </w:rPr>
      </w:pPr>
      <w:bookmarkStart w:id="53" w:name="_Toc96702521"/>
      <w:r>
        <w:rPr>
          <w:rFonts w:hint="eastAsia"/>
          <w:szCs w:val="24"/>
          <w:highlight w:val="none"/>
        </w:rPr>
        <w:t>7.谈判保证金（实质性要求）</w:t>
      </w:r>
      <w:bookmarkEnd w:id="53"/>
    </w:p>
    <w:p>
      <w:pPr>
        <w:spacing w:line="360" w:lineRule="auto"/>
        <w:ind w:firstLine="470" w:firstLineChars="196"/>
        <w:rPr>
          <w:color w:val="000000"/>
          <w:highlight w:val="none"/>
        </w:rPr>
      </w:pPr>
      <w:r>
        <w:rPr>
          <w:rFonts w:hint="eastAsia"/>
          <w:color w:val="000000"/>
          <w:highlight w:val="none"/>
        </w:rPr>
        <w:t>7.1 供应商必须以人民币为计量单位提交谈判文件规定数额的谈判保证金。联合体谈判的，可以由联合体的一方或者共同提交谈判保证金，以一方名义提交谈判保证金的，对联合体各方均具有约束力。</w:t>
      </w:r>
    </w:p>
    <w:p>
      <w:pPr>
        <w:spacing w:line="360" w:lineRule="auto"/>
        <w:ind w:firstLine="470" w:firstLineChars="196"/>
        <w:rPr>
          <w:color w:val="000000"/>
          <w:highlight w:val="none"/>
        </w:rPr>
      </w:pPr>
      <w:r>
        <w:rPr>
          <w:rFonts w:hint="eastAsia"/>
          <w:color w:val="000000"/>
          <w:highlight w:val="none"/>
        </w:rPr>
        <w:t>7.2 未按谈判文件要求在规定时间前交纳规定数额谈判保证金的响应文件无效。</w:t>
      </w:r>
    </w:p>
    <w:p>
      <w:pPr>
        <w:spacing w:line="360" w:lineRule="auto"/>
        <w:ind w:firstLine="470" w:firstLineChars="196"/>
        <w:rPr>
          <w:color w:val="000000"/>
          <w:highlight w:val="none"/>
        </w:rPr>
      </w:pPr>
      <w:r>
        <w:rPr>
          <w:rFonts w:hint="eastAsia"/>
          <w:color w:val="000000"/>
          <w:highlight w:val="none"/>
        </w:rPr>
        <w:t>7</w:t>
      </w:r>
      <w:r>
        <w:rPr>
          <w:color w:val="000000"/>
          <w:highlight w:val="none"/>
        </w:rPr>
        <w:t>.</w:t>
      </w:r>
      <w:r>
        <w:rPr>
          <w:rFonts w:hint="eastAsia"/>
          <w:color w:val="000000"/>
          <w:highlight w:val="none"/>
        </w:rPr>
        <w:t>3 供应商所交纳的谈判保证金不计利息。</w:t>
      </w:r>
    </w:p>
    <w:p>
      <w:pPr>
        <w:spacing w:line="360" w:lineRule="auto"/>
        <w:ind w:firstLine="470" w:firstLineChars="196"/>
        <w:rPr>
          <w:highlight w:val="none"/>
        </w:rPr>
      </w:pPr>
      <w:r>
        <w:rPr>
          <w:rFonts w:hint="eastAsia"/>
          <w:color w:val="000000"/>
          <w:highlight w:val="none"/>
        </w:rPr>
        <w:t>7.4 未成交供应商的谈判保证金，将在成交通知书发出后全额退还。成交供应商的谈判保证金，在合同签订生效并按规定交纳了履约保证金后全额退还</w:t>
      </w:r>
      <w:r>
        <w:rPr>
          <w:rFonts w:hint="eastAsia"/>
          <w:highlight w:val="none"/>
        </w:rPr>
        <w:t>。</w:t>
      </w:r>
      <w:r>
        <w:rPr>
          <w:rFonts w:hint="eastAsia"/>
          <w:color w:val="000000"/>
          <w:highlight w:val="none"/>
        </w:rPr>
        <w:t>（注：①因供应商自身原因造成的保证金延迟退还，采购代理机构不承担相应责任；②供应商因涉嫌违法违规，按</w:t>
      </w:r>
      <w:r>
        <w:rPr>
          <w:rFonts w:hint="eastAsia"/>
          <w:highlight w:val="none"/>
        </w:rPr>
        <w:t>照规定应当不予退还保证金的，有关部门处理认定违法违规行为期间不计入退还保证金期限内。）</w:t>
      </w:r>
    </w:p>
    <w:p>
      <w:pPr>
        <w:spacing w:line="360" w:lineRule="auto"/>
        <w:ind w:firstLine="470" w:firstLineChars="196"/>
        <w:rPr>
          <w:highlight w:val="none"/>
        </w:rPr>
      </w:pPr>
      <w:r>
        <w:rPr>
          <w:rFonts w:hint="eastAsia"/>
          <w:highlight w:val="none"/>
        </w:rPr>
        <w:t>7.5发生下列情形之一的，采购代理机构将不予退还谈判保证金：</w:t>
      </w:r>
    </w:p>
    <w:p>
      <w:pPr>
        <w:spacing w:line="360" w:lineRule="auto"/>
        <w:ind w:firstLine="470" w:firstLineChars="196"/>
        <w:rPr>
          <w:highlight w:val="none"/>
        </w:rPr>
      </w:pPr>
      <w:r>
        <w:rPr>
          <w:rFonts w:hint="eastAsia"/>
          <w:highlight w:val="none"/>
        </w:rPr>
        <w:t>（一）在谈判文件规定的递交响应文件截止时间后撤回响应文件的；</w:t>
      </w:r>
    </w:p>
    <w:p>
      <w:pPr>
        <w:spacing w:line="360" w:lineRule="auto"/>
        <w:ind w:firstLine="470" w:firstLineChars="196"/>
        <w:rPr>
          <w:highlight w:val="none"/>
        </w:rPr>
      </w:pPr>
      <w:r>
        <w:rPr>
          <w:rFonts w:hint="eastAsia"/>
          <w:highlight w:val="none"/>
        </w:rPr>
        <w:t>（二）在采购人确定成交供应商之前放弃成交候选资格的；</w:t>
      </w:r>
    </w:p>
    <w:p>
      <w:pPr>
        <w:spacing w:line="360" w:lineRule="auto"/>
        <w:ind w:firstLine="470" w:firstLineChars="196"/>
        <w:rPr>
          <w:color w:val="000000"/>
          <w:highlight w:val="none"/>
        </w:rPr>
      </w:pPr>
      <w:r>
        <w:rPr>
          <w:rFonts w:hint="eastAsia"/>
          <w:highlight w:val="none"/>
        </w:rPr>
        <w:t>（三）成交后放弃成交、不领取或者不接</w:t>
      </w:r>
      <w:r>
        <w:rPr>
          <w:rFonts w:hint="eastAsia"/>
          <w:color w:val="000000"/>
          <w:highlight w:val="none"/>
        </w:rPr>
        <w:t>收成交通知书的；</w:t>
      </w:r>
    </w:p>
    <w:p>
      <w:pPr>
        <w:spacing w:line="360" w:lineRule="auto"/>
        <w:ind w:firstLine="470" w:firstLineChars="196"/>
        <w:rPr>
          <w:color w:val="000000"/>
          <w:highlight w:val="none"/>
        </w:rPr>
      </w:pPr>
      <w:r>
        <w:rPr>
          <w:rFonts w:hint="eastAsia"/>
          <w:color w:val="000000"/>
          <w:highlight w:val="none"/>
        </w:rPr>
        <w:t>（四）由于成交供应商的原因未能按照谈判文件的规定与采购人签订合同的；</w:t>
      </w:r>
    </w:p>
    <w:p>
      <w:pPr>
        <w:spacing w:line="360" w:lineRule="auto"/>
        <w:ind w:firstLine="470" w:firstLineChars="196"/>
        <w:rPr>
          <w:color w:val="000000"/>
          <w:highlight w:val="none"/>
        </w:rPr>
      </w:pPr>
      <w:r>
        <w:rPr>
          <w:rFonts w:hint="eastAsia"/>
          <w:color w:val="000000"/>
          <w:highlight w:val="none"/>
        </w:rPr>
        <w:t>（五）由于成交供应商的原因未能按照谈判文件的规定交纳履约保证金的；</w:t>
      </w:r>
    </w:p>
    <w:p>
      <w:pPr>
        <w:spacing w:line="360" w:lineRule="auto"/>
        <w:ind w:firstLine="470" w:firstLineChars="196"/>
        <w:rPr>
          <w:color w:val="000000"/>
          <w:highlight w:val="none"/>
        </w:rPr>
      </w:pPr>
      <w:r>
        <w:rPr>
          <w:rFonts w:hint="eastAsia"/>
          <w:color w:val="000000"/>
          <w:highlight w:val="none"/>
        </w:rPr>
        <w:t>（六）供应商在采购活动中提供虚假材料的；</w:t>
      </w:r>
    </w:p>
    <w:p>
      <w:pPr>
        <w:spacing w:line="360" w:lineRule="auto"/>
        <w:ind w:firstLine="470" w:firstLineChars="196"/>
        <w:rPr>
          <w:color w:val="000000"/>
          <w:highlight w:val="none"/>
        </w:rPr>
      </w:pPr>
      <w:r>
        <w:rPr>
          <w:rFonts w:hint="eastAsia"/>
          <w:color w:val="000000"/>
          <w:highlight w:val="none"/>
        </w:rPr>
        <w:t>（七）报价有效期内，供应商在采购活动中有违法、违规、违纪行为。</w:t>
      </w:r>
    </w:p>
    <w:p>
      <w:pPr>
        <w:pStyle w:val="5"/>
        <w:spacing w:line="360" w:lineRule="auto"/>
        <w:rPr>
          <w:szCs w:val="24"/>
          <w:highlight w:val="none"/>
        </w:rPr>
      </w:pPr>
      <w:bookmarkStart w:id="54" w:name="_Toc96702522"/>
      <w:r>
        <w:rPr>
          <w:rFonts w:hint="eastAsia"/>
          <w:szCs w:val="24"/>
          <w:highlight w:val="none"/>
        </w:rPr>
        <w:t>8.响应文件有效期（实质性要求）</w:t>
      </w:r>
      <w:bookmarkEnd w:id="54"/>
    </w:p>
    <w:p>
      <w:pPr>
        <w:spacing w:line="360" w:lineRule="auto"/>
        <w:ind w:firstLine="470" w:firstLineChars="196"/>
        <w:rPr>
          <w:color w:val="000000"/>
          <w:highlight w:val="none"/>
        </w:rPr>
      </w:pPr>
      <w:r>
        <w:rPr>
          <w:rFonts w:hint="eastAsia"/>
          <w:color w:val="000000"/>
          <w:highlight w:val="none"/>
        </w:rPr>
        <w:t>本项目响应文件有效期为递交谈判响应文件截止之日起</w:t>
      </w:r>
      <w:r>
        <w:rPr>
          <w:color w:val="000000"/>
          <w:highlight w:val="none"/>
        </w:rPr>
        <w:t>60</w:t>
      </w:r>
      <w:r>
        <w:rPr>
          <w:rFonts w:hint="eastAsia"/>
          <w:color w:val="000000"/>
          <w:highlight w:val="none"/>
        </w:rPr>
        <w:t>天。供应商响应文件中必须载明响应文件有效期，响应文件中载明的响应文件有效期可以长于谈判文件规定的期限，但不得短于谈判文件规定的期限。否则，其响应文件将作为无效响应处理。</w:t>
      </w:r>
    </w:p>
    <w:p>
      <w:pPr>
        <w:pStyle w:val="5"/>
        <w:spacing w:line="360" w:lineRule="auto"/>
        <w:rPr>
          <w:szCs w:val="24"/>
          <w:highlight w:val="none"/>
        </w:rPr>
      </w:pPr>
      <w:bookmarkStart w:id="55" w:name="_Toc96702523"/>
      <w:r>
        <w:rPr>
          <w:rFonts w:hint="eastAsia"/>
          <w:szCs w:val="24"/>
          <w:highlight w:val="none"/>
        </w:rPr>
        <w:t>9.知识产权</w:t>
      </w:r>
      <w:bookmarkEnd w:id="55"/>
      <w:r>
        <w:rPr>
          <w:rFonts w:hint="eastAsia"/>
          <w:szCs w:val="24"/>
          <w:highlight w:val="none"/>
        </w:rPr>
        <w:t xml:space="preserve"> </w:t>
      </w:r>
    </w:p>
    <w:p>
      <w:pPr>
        <w:spacing w:line="360" w:lineRule="auto"/>
        <w:ind w:firstLine="470" w:firstLineChars="196"/>
        <w:rPr>
          <w:color w:val="000000"/>
          <w:highlight w:val="none"/>
        </w:rPr>
      </w:pPr>
      <w:r>
        <w:rPr>
          <w:rFonts w:hint="eastAsia"/>
          <w:color w:val="000000"/>
          <w:highlight w:val="none"/>
        </w:rPr>
        <w:t>9</w:t>
      </w:r>
      <w:r>
        <w:rPr>
          <w:color w:val="000000"/>
          <w:highlight w:val="none"/>
        </w:rPr>
        <w:t>.1</w:t>
      </w:r>
      <w:r>
        <w:rPr>
          <w:rFonts w:hint="eastAsia"/>
          <w:color w:val="000000"/>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70" w:firstLineChars="196"/>
        <w:rPr>
          <w:color w:val="000000"/>
          <w:highlight w:val="none"/>
        </w:rPr>
      </w:pPr>
      <w:r>
        <w:rPr>
          <w:rFonts w:hint="eastAsia"/>
          <w:color w:val="000000"/>
          <w:highlight w:val="none"/>
        </w:rPr>
        <w:t>9</w:t>
      </w:r>
      <w:r>
        <w:rPr>
          <w:color w:val="000000"/>
          <w:highlight w:val="none"/>
        </w:rPr>
        <w:t>.2</w:t>
      </w:r>
      <w:r>
        <w:rPr>
          <w:rFonts w:hint="eastAsia"/>
          <w:color w:val="000000"/>
          <w:highlight w:val="none"/>
        </w:rPr>
        <w:t xml:space="preserve"> 除非谈判文件特别规定，采购人享有本项目实施过程中产生的知识成果及知识产权。</w:t>
      </w:r>
    </w:p>
    <w:p>
      <w:pPr>
        <w:spacing w:line="360" w:lineRule="auto"/>
        <w:ind w:firstLine="480" w:firstLineChars="200"/>
        <w:rPr>
          <w:color w:val="000000"/>
          <w:highlight w:val="none"/>
        </w:rPr>
      </w:pPr>
      <w:r>
        <w:rPr>
          <w:rFonts w:hint="eastAsia"/>
          <w:color w:val="000000"/>
          <w:highlight w:val="none"/>
        </w:rPr>
        <w:t>9</w:t>
      </w:r>
      <w:r>
        <w:rPr>
          <w:color w:val="000000"/>
          <w:highlight w:val="none"/>
        </w:rPr>
        <w:t>.3</w:t>
      </w:r>
      <w:r>
        <w:rPr>
          <w:rFonts w:hint="eastAsia"/>
          <w:color w:val="000000"/>
          <w:highlight w:val="none"/>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color w:val="000000"/>
          <w:highlight w:val="none"/>
        </w:rPr>
      </w:pPr>
      <w:r>
        <w:rPr>
          <w:rFonts w:hint="eastAsia"/>
          <w:color w:val="000000"/>
          <w:highlight w:val="none"/>
        </w:rPr>
        <w:t>9</w:t>
      </w:r>
      <w:r>
        <w:rPr>
          <w:color w:val="000000"/>
          <w:highlight w:val="none"/>
        </w:rPr>
        <w:t>.4</w:t>
      </w:r>
      <w:r>
        <w:rPr>
          <w:rFonts w:hint="eastAsia"/>
          <w:color w:val="000000"/>
          <w:highlight w:val="none"/>
        </w:rPr>
        <w:t xml:space="preserve"> 如采用供应商所不拥有的知识产权，则在报价中必须包括合法获取该知识产权的相关费用。 </w:t>
      </w:r>
    </w:p>
    <w:p>
      <w:pPr>
        <w:pStyle w:val="4"/>
        <w:keepNext w:val="0"/>
        <w:keepLines w:val="0"/>
        <w:spacing w:before="0" w:after="0" w:line="360" w:lineRule="auto"/>
        <w:rPr>
          <w:rFonts w:ascii="黑体"/>
          <w:bCs w:val="0"/>
          <w:color w:val="000000"/>
          <w:sz w:val="24"/>
          <w:szCs w:val="24"/>
          <w:highlight w:val="none"/>
        </w:rPr>
      </w:pPr>
      <w:bookmarkStart w:id="56" w:name="_Toc183682346"/>
      <w:bookmarkStart w:id="57" w:name="_Toc77400779"/>
      <w:bookmarkStart w:id="58" w:name="_Toc89075875"/>
      <w:bookmarkStart w:id="59" w:name="_Toc217446038"/>
      <w:bookmarkStart w:id="60" w:name="_Toc183582209"/>
      <w:bookmarkStart w:id="61" w:name="_Toc96702524"/>
      <w:r>
        <w:rPr>
          <w:rFonts w:hint="eastAsia" w:ascii="黑体"/>
          <w:bCs w:val="0"/>
          <w:color w:val="000000"/>
          <w:sz w:val="24"/>
          <w:szCs w:val="24"/>
          <w:highlight w:val="none"/>
        </w:rPr>
        <w:t>三、谈判文件</w:t>
      </w:r>
      <w:bookmarkEnd w:id="56"/>
      <w:bookmarkEnd w:id="57"/>
      <w:bookmarkEnd w:id="58"/>
      <w:bookmarkEnd w:id="59"/>
      <w:bookmarkEnd w:id="60"/>
      <w:bookmarkEnd w:id="61"/>
    </w:p>
    <w:p>
      <w:pPr>
        <w:pStyle w:val="5"/>
        <w:spacing w:line="360" w:lineRule="auto"/>
        <w:rPr>
          <w:szCs w:val="24"/>
          <w:highlight w:val="none"/>
        </w:rPr>
      </w:pPr>
      <w:bookmarkStart w:id="62" w:name="_Toc217446039"/>
      <w:bookmarkStart w:id="63" w:name="_Toc183582210"/>
      <w:bookmarkStart w:id="64" w:name="_Toc96702525"/>
      <w:bookmarkStart w:id="65" w:name="_Toc183682347"/>
      <w:r>
        <w:rPr>
          <w:rFonts w:hint="eastAsia"/>
          <w:szCs w:val="24"/>
          <w:highlight w:val="none"/>
        </w:rPr>
        <w:t>10．谈判文件的构成</w:t>
      </w:r>
      <w:bookmarkEnd w:id="62"/>
      <w:bookmarkEnd w:id="63"/>
      <w:bookmarkEnd w:id="64"/>
      <w:bookmarkEnd w:id="65"/>
      <w:r>
        <w:rPr>
          <w:rFonts w:hint="eastAsia"/>
          <w:szCs w:val="24"/>
          <w:highlight w:val="none"/>
        </w:rPr>
        <w:t xml:space="preserve"> </w:t>
      </w:r>
    </w:p>
    <w:p>
      <w:pPr>
        <w:tabs>
          <w:tab w:val="left" w:pos="720"/>
        </w:tabs>
        <w:spacing w:line="360" w:lineRule="auto"/>
        <w:ind w:firstLine="480" w:firstLineChars="200"/>
        <w:rPr>
          <w:color w:val="FF0000"/>
          <w:highlight w:val="none"/>
        </w:rPr>
      </w:pPr>
      <w:r>
        <w:rPr>
          <w:rFonts w:hint="eastAsia"/>
          <w:color w:val="000000"/>
          <w:highlight w:val="none"/>
        </w:rPr>
        <w:t>10</w:t>
      </w:r>
      <w:r>
        <w:rPr>
          <w:b/>
          <w:bCs/>
          <w:color w:val="000000"/>
          <w:highlight w:val="none"/>
        </w:rPr>
        <w:t>.</w:t>
      </w:r>
      <w:r>
        <w:rPr>
          <w:rFonts w:hint="eastAsia"/>
          <w:color w:val="000000"/>
          <w:highlight w:val="none"/>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color w:val="000000"/>
          <w:highlight w:val="none"/>
        </w:rPr>
      </w:pPr>
      <w:r>
        <w:rPr>
          <w:rFonts w:hint="eastAsia"/>
          <w:color w:val="000000"/>
          <w:highlight w:val="none"/>
        </w:rPr>
        <w:t>10</w:t>
      </w:r>
      <w:r>
        <w:rPr>
          <w:rFonts w:hint="eastAsia"/>
          <w:b/>
          <w:bCs/>
          <w:color w:val="000000"/>
          <w:highlight w:val="none"/>
        </w:rPr>
        <w:t>.</w:t>
      </w:r>
      <w:r>
        <w:rPr>
          <w:rFonts w:hint="eastAsia"/>
          <w:color w:val="000000"/>
          <w:highlight w:val="none"/>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spacing w:line="360" w:lineRule="auto"/>
        <w:rPr>
          <w:szCs w:val="24"/>
          <w:highlight w:val="none"/>
        </w:rPr>
      </w:pPr>
      <w:bookmarkStart w:id="66" w:name="_Toc183582211"/>
      <w:bookmarkStart w:id="67" w:name="_Toc183682348"/>
      <w:bookmarkStart w:id="68" w:name="_Toc217446040"/>
      <w:bookmarkStart w:id="69" w:name="_Toc96702526"/>
      <w:r>
        <w:rPr>
          <w:rFonts w:hint="eastAsia"/>
          <w:szCs w:val="24"/>
          <w:highlight w:val="none"/>
        </w:rPr>
        <w:t>11. 谈判文件的澄清</w:t>
      </w:r>
      <w:bookmarkEnd w:id="66"/>
      <w:bookmarkEnd w:id="67"/>
      <w:r>
        <w:rPr>
          <w:rFonts w:hint="eastAsia"/>
          <w:szCs w:val="24"/>
          <w:highlight w:val="none"/>
        </w:rPr>
        <w:t>和修改</w:t>
      </w:r>
      <w:bookmarkEnd w:id="68"/>
      <w:bookmarkEnd w:id="69"/>
    </w:p>
    <w:p>
      <w:pPr>
        <w:tabs>
          <w:tab w:val="left" w:pos="720"/>
        </w:tabs>
        <w:spacing w:line="360" w:lineRule="auto"/>
        <w:ind w:firstLine="480" w:firstLineChars="200"/>
        <w:rPr>
          <w:color w:val="000000"/>
          <w:highlight w:val="none"/>
        </w:rPr>
      </w:pPr>
      <w:r>
        <w:rPr>
          <w:rFonts w:hint="eastAsia"/>
          <w:color w:val="000000"/>
          <w:highlight w:val="none"/>
        </w:rPr>
        <w:t>11.1 在递交响应文件截止时间前，采购人、采购代理机构可以对谈判文件进行澄清或者修改。</w:t>
      </w:r>
    </w:p>
    <w:p>
      <w:pPr>
        <w:tabs>
          <w:tab w:val="left" w:pos="720"/>
        </w:tabs>
        <w:spacing w:line="360" w:lineRule="auto"/>
        <w:ind w:firstLine="480" w:firstLineChars="200"/>
        <w:rPr>
          <w:color w:val="000000"/>
          <w:highlight w:val="none"/>
        </w:rPr>
      </w:pPr>
      <w:r>
        <w:rPr>
          <w:rFonts w:hint="eastAsia"/>
          <w:color w:val="000000"/>
          <w:highlight w:val="none"/>
        </w:rPr>
        <w:t>11.2 采购代理机构对已发出的谈判文件进行澄清或者修改，在西南联合产权交易所电子招采平台网站（https://www.swuee.com/#/purchase/index）上发布更正公告。该澄清或者修改的内容为谈判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20"/>
        </w:tabs>
        <w:spacing w:line="360" w:lineRule="auto"/>
        <w:ind w:firstLine="480" w:firstLineChars="200"/>
        <w:rPr>
          <w:color w:val="000000"/>
          <w:highlight w:val="none"/>
        </w:rPr>
      </w:pPr>
      <w:r>
        <w:rPr>
          <w:rFonts w:hint="eastAsia"/>
          <w:color w:val="000000"/>
          <w:highlight w:val="none"/>
        </w:rPr>
        <w:t>11.3供应商认为采购人/采购代理机构需要对谈判文件进行澄清或者修改的，可以在提交首次响应文件截止之日起3个工作日前以在西南联合产权交易所电子招采平台网站（https://www.swuee.com/#/purchase/index）提出申请，由采购人/采购代理机构决定是否采纳供应商的申请事项。</w:t>
      </w:r>
    </w:p>
    <w:p>
      <w:pPr>
        <w:pStyle w:val="5"/>
        <w:spacing w:line="360" w:lineRule="auto"/>
        <w:rPr>
          <w:rFonts w:ascii="宋体" w:hAnsi="宋体"/>
          <w:color w:val="000000"/>
          <w:szCs w:val="24"/>
          <w:highlight w:val="none"/>
        </w:rPr>
      </w:pPr>
      <w:bookmarkStart w:id="70" w:name="_Toc96702527"/>
      <w:bookmarkStart w:id="71" w:name="_Toc208848971"/>
      <w:bookmarkStart w:id="72" w:name="_Toc217446041"/>
      <w:r>
        <w:rPr>
          <w:rFonts w:hint="eastAsia"/>
          <w:szCs w:val="24"/>
          <w:highlight w:val="none"/>
        </w:rPr>
        <w:t>12. 答疑会和现场考察</w:t>
      </w:r>
      <w:bookmarkEnd w:id="70"/>
      <w:bookmarkEnd w:id="71"/>
      <w:bookmarkEnd w:id="72"/>
    </w:p>
    <w:p>
      <w:pPr>
        <w:spacing w:line="360" w:lineRule="auto"/>
        <w:ind w:firstLine="480" w:firstLineChars="200"/>
        <w:rPr>
          <w:color w:val="000000"/>
          <w:highlight w:val="none"/>
        </w:rPr>
      </w:pPr>
      <w:r>
        <w:rPr>
          <w:rFonts w:hint="eastAsia"/>
          <w:color w:val="000000"/>
          <w:highlight w:val="none"/>
        </w:rPr>
        <w:t>12.1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color w:val="000000"/>
          <w:highlight w:val="none"/>
        </w:rPr>
      </w:pPr>
      <w:r>
        <w:rPr>
          <w:rFonts w:hint="eastAsia"/>
          <w:color w:val="000000"/>
          <w:highlight w:val="none"/>
        </w:rPr>
        <w:t>12.2采购人、采购代理机构组织现场考察或者召开答疑会的，将以公告形式通知所有获取谈判文件的潜在供应商。</w:t>
      </w:r>
      <w:r>
        <w:rPr>
          <w:rFonts w:hint="eastAsia"/>
          <w:highlight w:val="none"/>
        </w:rPr>
        <w:t>供应商接到通知后，不按照要求参加现场考察或者答疑会的，视同放弃参加现场考察或者答</w:t>
      </w:r>
      <w:r>
        <w:rPr>
          <w:rFonts w:hint="eastAsia"/>
          <w:color w:val="000000"/>
          <w:highlight w:val="none"/>
        </w:rPr>
        <w:t>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color w:val="000000"/>
          <w:highlight w:val="none"/>
        </w:rPr>
      </w:pPr>
      <w:r>
        <w:rPr>
          <w:rFonts w:hint="eastAsia"/>
          <w:color w:val="000000"/>
          <w:highlight w:val="none"/>
        </w:rPr>
        <w:t>12</w:t>
      </w:r>
      <w:r>
        <w:rPr>
          <w:color w:val="000000"/>
          <w:highlight w:val="none"/>
        </w:rPr>
        <w:t>.</w:t>
      </w:r>
      <w:r>
        <w:rPr>
          <w:rFonts w:hint="eastAsia"/>
          <w:color w:val="000000"/>
          <w:highlight w:val="none"/>
        </w:rPr>
        <w:t>3 供应商自行承担参加答疑会和现场考察的一切费用。</w:t>
      </w:r>
    </w:p>
    <w:p>
      <w:pPr>
        <w:pStyle w:val="4"/>
        <w:keepNext w:val="0"/>
        <w:keepLines w:val="0"/>
        <w:spacing w:before="0" w:after="0" w:line="360" w:lineRule="auto"/>
        <w:rPr>
          <w:rFonts w:ascii="黑体"/>
          <w:bCs w:val="0"/>
          <w:color w:val="000000"/>
          <w:sz w:val="24"/>
          <w:szCs w:val="24"/>
          <w:highlight w:val="none"/>
        </w:rPr>
      </w:pPr>
      <w:bookmarkStart w:id="73" w:name="_Toc183582214"/>
      <w:bookmarkStart w:id="74" w:name="_Toc183682351"/>
      <w:bookmarkStart w:id="75" w:name="_Toc77400780"/>
      <w:bookmarkStart w:id="76" w:name="_Toc89075876"/>
      <w:bookmarkStart w:id="77" w:name="_Toc96702528"/>
      <w:bookmarkStart w:id="78" w:name="_Toc217446042"/>
      <w:r>
        <w:rPr>
          <w:rFonts w:hint="eastAsia" w:ascii="黑体"/>
          <w:bCs w:val="0"/>
          <w:color w:val="000000"/>
          <w:sz w:val="24"/>
          <w:szCs w:val="24"/>
          <w:highlight w:val="none"/>
        </w:rPr>
        <w:t>四、响应文件</w:t>
      </w:r>
      <w:bookmarkEnd w:id="73"/>
      <w:bookmarkEnd w:id="74"/>
      <w:bookmarkEnd w:id="75"/>
      <w:bookmarkEnd w:id="76"/>
      <w:bookmarkEnd w:id="77"/>
      <w:bookmarkEnd w:id="78"/>
    </w:p>
    <w:p>
      <w:pPr>
        <w:pStyle w:val="5"/>
        <w:spacing w:line="360" w:lineRule="auto"/>
        <w:rPr>
          <w:szCs w:val="24"/>
          <w:highlight w:val="none"/>
        </w:rPr>
      </w:pPr>
      <w:bookmarkStart w:id="79" w:name="_Toc96702529"/>
      <w:bookmarkStart w:id="80" w:name="_Toc217446043"/>
      <w:bookmarkStart w:id="81" w:name="_Toc183582215"/>
      <w:bookmarkStart w:id="82" w:name="_Toc183682352"/>
      <w:r>
        <w:rPr>
          <w:rFonts w:hint="eastAsia"/>
          <w:szCs w:val="24"/>
          <w:highlight w:val="none"/>
        </w:rPr>
        <w:t>13.响应文件的组成</w:t>
      </w:r>
      <w:bookmarkEnd w:id="79"/>
      <w:r>
        <w:rPr>
          <w:rFonts w:hint="eastAsia"/>
          <w:szCs w:val="24"/>
          <w:highlight w:val="none"/>
        </w:rPr>
        <w:t xml:space="preserve"> </w:t>
      </w:r>
    </w:p>
    <w:p>
      <w:pPr>
        <w:spacing w:line="360" w:lineRule="auto"/>
        <w:ind w:firstLine="480" w:firstLineChars="200"/>
        <w:rPr>
          <w:highlight w:val="none"/>
        </w:rPr>
      </w:pPr>
      <w:bookmarkStart w:id="83" w:name="_Toc96702530"/>
      <w:r>
        <w:rPr>
          <w:rFonts w:hint="eastAsia"/>
          <w:highlight w:val="none"/>
        </w:rPr>
        <w:t>供应商应按照谈判文件的规定和要求编制响应文件。供应商在成交后将成交项目的非主体、非关键性工作分包他人完成的，应当在响应文件中载明或谈判过程中澄清。</w:t>
      </w:r>
      <w:bookmarkEnd w:id="83"/>
      <w:r>
        <w:rPr>
          <w:rFonts w:hint="eastAsia"/>
          <w:highlight w:val="none"/>
        </w:rPr>
        <w:t xml:space="preserve"> </w:t>
      </w:r>
    </w:p>
    <w:p>
      <w:pPr>
        <w:pStyle w:val="5"/>
        <w:spacing w:line="360" w:lineRule="auto"/>
        <w:rPr>
          <w:szCs w:val="24"/>
          <w:highlight w:val="none"/>
        </w:rPr>
      </w:pPr>
      <w:bookmarkStart w:id="84" w:name="_Toc96702531"/>
      <w:r>
        <w:rPr>
          <w:rFonts w:hint="eastAsia"/>
          <w:szCs w:val="24"/>
          <w:highlight w:val="none"/>
        </w:rPr>
        <w:t>14.响应文件的语言</w:t>
      </w:r>
      <w:bookmarkEnd w:id="80"/>
      <w:bookmarkEnd w:id="81"/>
      <w:bookmarkEnd w:id="82"/>
      <w:bookmarkEnd w:id="84"/>
      <w:r>
        <w:rPr>
          <w:rFonts w:hint="eastAsia"/>
          <w:szCs w:val="24"/>
          <w:highlight w:val="none"/>
        </w:rPr>
        <w:t xml:space="preserve"> </w:t>
      </w:r>
    </w:p>
    <w:p>
      <w:pPr>
        <w:spacing w:line="360" w:lineRule="auto"/>
        <w:ind w:firstLine="480" w:firstLineChars="200"/>
        <w:rPr>
          <w:color w:val="000000"/>
          <w:highlight w:val="none"/>
        </w:rPr>
      </w:pPr>
      <w:r>
        <w:rPr>
          <w:rFonts w:hint="eastAsia"/>
          <w:color w:val="000000"/>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000000"/>
          <w:highlight w:val="none"/>
        </w:rPr>
      </w:pPr>
      <w:r>
        <w:rPr>
          <w:rFonts w:hint="eastAsia"/>
          <w:color w:val="000000"/>
          <w:highlight w:val="none"/>
        </w:rPr>
        <w:t>14.2 翻译的中文资料与外文资料如果出现差异和矛盾，以中文为准。但不能故意错误翻译，否则，供应商的响应文件将作为无效处理。</w:t>
      </w:r>
    </w:p>
    <w:p>
      <w:pPr>
        <w:pStyle w:val="5"/>
        <w:spacing w:line="360" w:lineRule="auto"/>
        <w:rPr>
          <w:szCs w:val="24"/>
          <w:highlight w:val="none"/>
        </w:rPr>
      </w:pPr>
      <w:bookmarkStart w:id="85" w:name="_Toc217446044"/>
      <w:bookmarkStart w:id="86" w:name="_Toc183682353"/>
      <w:bookmarkStart w:id="87" w:name="_Toc183582216"/>
      <w:bookmarkStart w:id="88" w:name="_Toc96702532"/>
      <w:r>
        <w:rPr>
          <w:rFonts w:hint="eastAsia"/>
          <w:szCs w:val="24"/>
          <w:highlight w:val="none"/>
        </w:rPr>
        <w:t>15．计量单位</w:t>
      </w:r>
      <w:bookmarkEnd w:id="85"/>
      <w:bookmarkEnd w:id="86"/>
      <w:bookmarkEnd w:id="87"/>
      <w:r>
        <w:rPr>
          <w:rFonts w:hint="eastAsia"/>
          <w:szCs w:val="24"/>
          <w:highlight w:val="none"/>
        </w:rPr>
        <w:t>（实质性要求）</w:t>
      </w:r>
      <w:bookmarkEnd w:id="88"/>
    </w:p>
    <w:p>
      <w:pPr>
        <w:spacing w:line="360" w:lineRule="auto"/>
        <w:ind w:firstLine="470" w:firstLineChars="196"/>
        <w:rPr>
          <w:color w:val="000000"/>
          <w:highlight w:val="none"/>
        </w:rPr>
      </w:pPr>
      <w:r>
        <w:rPr>
          <w:rFonts w:hint="eastAsia"/>
          <w:color w:val="000000"/>
          <w:highlight w:val="none"/>
        </w:rPr>
        <w:t>除谈判文件中另有规定外，本次采购项目所有合同项下的报价均采用国家法定的计量单位。</w:t>
      </w:r>
    </w:p>
    <w:p>
      <w:pPr>
        <w:pStyle w:val="5"/>
        <w:spacing w:line="360" w:lineRule="auto"/>
        <w:rPr>
          <w:szCs w:val="24"/>
          <w:highlight w:val="none"/>
        </w:rPr>
      </w:pPr>
      <w:bookmarkStart w:id="89" w:name="_Toc96702533"/>
      <w:bookmarkStart w:id="90" w:name="_Toc217446045"/>
      <w:r>
        <w:rPr>
          <w:rFonts w:hint="eastAsia"/>
          <w:szCs w:val="24"/>
          <w:highlight w:val="none"/>
        </w:rPr>
        <w:t>16. 报价货币（实质性要求）</w:t>
      </w:r>
      <w:bookmarkEnd w:id="89"/>
    </w:p>
    <w:p>
      <w:pPr>
        <w:spacing w:line="360" w:lineRule="auto"/>
        <w:ind w:firstLine="468" w:firstLineChars="195"/>
        <w:rPr>
          <w:bCs/>
          <w:color w:val="000000"/>
          <w:highlight w:val="none"/>
        </w:rPr>
      </w:pPr>
      <w:r>
        <w:rPr>
          <w:rFonts w:hint="eastAsia"/>
          <w:bCs/>
          <w:color w:val="000000"/>
          <w:highlight w:val="none"/>
        </w:rPr>
        <w:t>本次</w:t>
      </w:r>
      <w:r>
        <w:rPr>
          <w:rFonts w:hint="eastAsia"/>
          <w:color w:val="000000"/>
          <w:highlight w:val="none"/>
        </w:rPr>
        <w:t>谈判</w:t>
      </w:r>
      <w:r>
        <w:rPr>
          <w:rFonts w:hint="eastAsia"/>
          <w:bCs/>
          <w:color w:val="000000"/>
          <w:highlight w:val="none"/>
        </w:rPr>
        <w:t>项目的</w:t>
      </w:r>
      <w:r>
        <w:rPr>
          <w:rFonts w:hint="eastAsia"/>
          <w:color w:val="000000"/>
          <w:highlight w:val="none"/>
        </w:rPr>
        <w:t>报价货币为</w:t>
      </w:r>
      <w:r>
        <w:rPr>
          <w:rFonts w:hint="eastAsia"/>
          <w:bCs/>
          <w:color w:val="000000"/>
          <w:highlight w:val="none"/>
        </w:rPr>
        <w:t>人民币，报价以</w:t>
      </w:r>
      <w:r>
        <w:rPr>
          <w:rFonts w:hint="eastAsia"/>
          <w:color w:val="000000"/>
          <w:highlight w:val="none"/>
        </w:rPr>
        <w:t>谈判</w:t>
      </w:r>
      <w:r>
        <w:rPr>
          <w:rFonts w:hint="eastAsia"/>
          <w:bCs/>
          <w:color w:val="000000"/>
          <w:highlight w:val="none"/>
        </w:rPr>
        <w:t>文件约定为准。</w:t>
      </w:r>
    </w:p>
    <w:bookmarkEnd w:id="90"/>
    <w:p>
      <w:pPr>
        <w:pStyle w:val="5"/>
        <w:spacing w:line="360" w:lineRule="auto"/>
        <w:rPr>
          <w:szCs w:val="24"/>
          <w:highlight w:val="none"/>
        </w:rPr>
      </w:pPr>
      <w:bookmarkStart w:id="91" w:name="_Toc96702534"/>
      <w:r>
        <w:rPr>
          <w:rFonts w:hint="eastAsia"/>
          <w:szCs w:val="24"/>
          <w:highlight w:val="none"/>
        </w:rPr>
        <w:t>17.响应文件格式</w:t>
      </w:r>
      <w:bookmarkEnd w:id="91"/>
    </w:p>
    <w:p>
      <w:pPr>
        <w:spacing w:line="360" w:lineRule="auto"/>
        <w:ind w:firstLine="468" w:firstLineChars="195"/>
        <w:rPr>
          <w:bCs/>
          <w:color w:val="000000"/>
          <w:highlight w:val="none"/>
        </w:rPr>
      </w:pPr>
      <w:r>
        <w:rPr>
          <w:rFonts w:hint="eastAsia"/>
          <w:bCs/>
          <w:color w:val="000000"/>
          <w:highlight w:val="none"/>
        </w:rPr>
        <w:t>17.1 供应商应执行谈判文件第三章的规定要求。</w:t>
      </w:r>
    </w:p>
    <w:p>
      <w:pPr>
        <w:spacing w:line="360" w:lineRule="auto"/>
        <w:ind w:left="2" w:leftChars="1" w:firstLine="480" w:firstLineChars="200"/>
        <w:rPr>
          <w:color w:val="000000"/>
          <w:highlight w:val="none"/>
        </w:rPr>
      </w:pPr>
      <w:r>
        <w:rPr>
          <w:rFonts w:hint="eastAsia"/>
          <w:color w:val="000000"/>
          <w:highlight w:val="none"/>
        </w:rPr>
        <w:t>17.2 对于没有格式要求的谈判文件由供应商自行编写。</w:t>
      </w:r>
    </w:p>
    <w:p>
      <w:pPr>
        <w:pStyle w:val="5"/>
        <w:spacing w:line="360" w:lineRule="auto"/>
        <w:rPr>
          <w:szCs w:val="24"/>
          <w:highlight w:val="none"/>
        </w:rPr>
      </w:pPr>
      <w:bookmarkStart w:id="92" w:name="_Toc96702535"/>
      <w:bookmarkStart w:id="93" w:name="_Toc183682361"/>
      <w:bookmarkStart w:id="94" w:name="_Toc217446051"/>
      <w:bookmarkStart w:id="95" w:name="_Toc183582224"/>
      <w:r>
        <w:rPr>
          <w:rFonts w:hint="eastAsia"/>
          <w:szCs w:val="24"/>
          <w:highlight w:val="none"/>
        </w:rPr>
        <w:t>18.响应文件的编制和签署</w:t>
      </w:r>
      <w:bookmarkEnd w:id="92"/>
    </w:p>
    <w:p>
      <w:pPr>
        <w:spacing w:line="360" w:lineRule="auto"/>
        <w:ind w:firstLine="470" w:firstLineChars="196"/>
        <w:rPr>
          <w:highlight w:val="none"/>
        </w:rPr>
      </w:pPr>
      <w:bookmarkStart w:id="96" w:name="_Hlk92894738"/>
      <w:r>
        <w:rPr>
          <w:rFonts w:hint="eastAsia"/>
          <w:color w:val="000000"/>
          <w:highlight w:val="none"/>
        </w:rPr>
        <w:t>18.1响应文件正本</w:t>
      </w:r>
      <w:r>
        <w:rPr>
          <w:rFonts w:hint="eastAsia"/>
          <w:highlight w:val="none"/>
        </w:rPr>
        <w:t>壹份副本贰份,电子文档壹份</w:t>
      </w:r>
      <w:r>
        <w:rPr>
          <w:rFonts w:hint="eastAsia"/>
          <w:color w:val="000000"/>
          <w:highlight w:val="none"/>
        </w:rPr>
        <w:t>，并在其封面上清楚地标明响应文件、采购项目名称、采购项目编号、包件号及名称（若有）、供应商名称以及“正本”或“副本”字样。若正本和副本有不一致的内容，以正本</w:t>
      </w:r>
      <w:r>
        <w:rPr>
          <w:rFonts w:hint="eastAsia"/>
          <w:highlight w:val="none"/>
        </w:rPr>
        <w:t>书面响应文件为准。</w:t>
      </w:r>
    </w:p>
    <w:p>
      <w:pPr>
        <w:spacing w:line="360" w:lineRule="auto"/>
        <w:ind w:firstLine="470" w:firstLineChars="196"/>
        <w:rPr>
          <w:color w:val="000000"/>
          <w:highlight w:val="none"/>
        </w:rPr>
      </w:pPr>
      <w:r>
        <w:rPr>
          <w:rFonts w:hint="eastAsia"/>
          <w:highlight w:val="none"/>
        </w:rPr>
        <w:t xml:space="preserve">18.2 </w:t>
      </w:r>
      <w:bookmarkEnd w:id="93"/>
      <w:bookmarkEnd w:id="94"/>
      <w:bookmarkEnd w:id="95"/>
      <w:r>
        <w:rPr>
          <w:rFonts w:hint="eastAsia"/>
          <w:color w:val="000000"/>
          <w:highlight w:val="none"/>
        </w:rPr>
        <w:t>响应文件正本和副本均需打印或用不褪色、不变质的墨水书写，并在规定签章处签字和盖章。响应文件副本可采用正本的复印件，电子文档采用光盘或U盘制作。</w:t>
      </w:r>
    </w:p>
    <w:p>
      <w:pPr>
        <w:tabs>
          <w:tab w:val="left" w:pos="1095"/>
        </w:tabs>
        <w:spacing w:line="360" w:lineRule="auto"/>
        <w:ind w:firstLine="460" w:firstLineChars="192"/>
        <w:rPr>
          <w:highlight w:val="none"/>
        </w:rPr>
      </w:pPr>
      <w:bookmarkStart w:id="97" w:name="_Hlk92891089"/>
      <w:r>
        <w:rPr>
          <w:rFonts w:hint="eastAsia"/>
          <w:color w:val="000000"/>
          <w:highlight w:val="none"/>
        </w:rPr>
        <w:t>18.</w:t>
      </w:r>
      <w:r>
        <w:rPr>
          <w:color w:val="000000"/>
          <w:highlight w:val="none"/>
        </w:rPr>
        <w:t>3</w:t>
      </w:r>
      <w:r>
        <w:rPr>
          <w:rFonts w:hint="eastAsia"/>
          <w:color w:val="000000"/>
          <w:highlight w:val="none"/>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highlight w:val="none"/>
        </w:rPr>
        <w:t>作为无效处理。</w:t>
      </w:r>
    </w:p>
    <w:p>
      <w:pPr>
        <w:tabs>
          <w:tab w:val="left" w:pos="1080"/>
        </w:tabs>
        <w:spacing w:line="360" w:lineRule="auto"/>
        <w:ind w:firstLine="460" w:firstLineChars="192"/>
        <w:rPr>
          <w:highlight w:val="none"/>
        </w:rPr>
      </w:pPr>
      <w:r>
        <w:rPr>
          <w:rFonts w:hint="eastAsia"/>
          <w:highlight w:val="none"/>
        </w:rPr>
        <w:t>18.</w:t>
      </w:r>
      <w:r>
        <w:rPr>
          <w:highlight w:val="none"/>
        </w:rPr>
        <w:t>4</w:t>
      </w:r>
      <w:r>
        <w:rPr>
          <w:rFonts w:hint="eastAsia"/>
          <w:b/>
          <w:highlight w:val="none"/>
        </w:rPr>
        <w:t xml:space="preserve"> </w:t>
      </w:r>
      <w:r>
        <w:rPr>
          <w:rFonts w:hint="eastAsia"/>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highlight w:val="none"/>
        </w:rPr>
      </w:pPr>
      <w:r>
        <w:rPr>
          <w:rFonts w:hint="eastAsia"/>
          <w:highlight w:val="none"/>
        </w:rPr>
        <w:t>18.</w:t>
      </w:r>
      <w:r>
        <w:rPr>
          <w:highlight w:val="none"/>
        </w:rPr>
        <w:t>5</w:t>
      </w:r>
      <w:r>
        <w:rPr>
          <w:rFonts w:hint="eastAsia"/>
          <w:highlight w:val="none"/>
        </w:rPr>
        <w:t>响应文件正本和副本需要逐页编目编码。</w:t>
      </w:r>
    </w:p>
    <w:p>
      <w:pPr>
        <w:tabs>
          <w:tab w:val="left" w:pos="1080"/>
        </w:tabs>
        <w:spacing w:line="360" w:lineRule="auto"/>
        <w:ind w:firstLine="460" w:firstLineChars="192"/>
        <w:rPr>
          <w:highlight w:val="none"/>
        </w:rPr>
      </w:pPr>
      <w:r>
        <w:rPr>
          <w:rFonts w:hint="eastAsia"/>
          <w:highlight w:val="none"/>
        </w:rPr>
        <w:t>18.</w:t>
      </w:r>
      <w:r>
        <w:rPr>
          <w:rFonts w:hint="eastAsia"/>
          <w:b/>
          <w:highlight w:val="none"/>
        </w:rPr>
        <w:t xml:space="preserve"> </w:t>
      </w:r>
      <w:r>
        <w:rPr>
          <w:rFonts w:hint="eastAsia"/>
          <w:highlight w:val="none"/>
        </w:rPr>
        <w:t>响应文件正本和副本应当采用胶装方式装订成册，不得散装或者合页装订。</w:t>
      </w:r>
    </w:p>
    <w:p>
      <w:pPr>
        <w:tabs>
          <w:tab w:val="left" w:pos="1080"/>
        </w:tabs>
        <w:spacing w:line="360" w:lineRule="auto"/>
        <w:ind w:firstLine="460" w:firstLineChars="192"/>
        <w:rPr>
          <w:highlight w:val="none"/>
        </w:rPr>
      </w:pPr>
      <w:r>
        <w:rPr>
          <w:rFonts w:hint="eastAsia"/>
          <w:highlight w:val="none"/>
        </w:rPr>
        <w:t>18.</w:t>
      </w:r>
      <w:r>
        <w:rPr>
          <w:highlight w:val="none"/>
        </w:rPr>
        <w:t>7</w:t>
      </w:r>
      <w:r>
        <w:rPr>
          <w:rFonts w:hint="eastAsia"/>
          <w:highlight w:val="none"/>
        </w:rPr>
        <w:t>响应文件应根据谈判文件的要求制作，签署、盖章。</w:t>
      </w:r>
    </w:p>
    <w:p>
      <w:pPr>
        <w:tabs>
          <w:tab w:val="left" w:pos="1080"/>
        </w:tabs>
        <w:spacing w:line="360" w:lineRule="auto"/>
        <w:ind w:firstLine="460" w:firstLineChars="192"/>
        <w:rPr>
          <w:highlight w:val="none"/>
        </w:rPr>
      </w:pPr>
      <w:r>
        <w:rPr>
          <w:rFonts w:hint="eastAsia"/>
          <w:highlight w:val="none"/>
        </w:rPr>
        <w:t>18.</w:t>
      </w:r>
      <w:r>
        <w:rPr>
          <w:highlight w:val="none"/>
        </w:rPr>
        <w:t>8</w:t>
      </w:r>
      <w:r>
        <w:rPr>
          <w:rFonts w:hint="eastAsia"/>
          <w:highlight w:val="none"/>
        </w:rPr>
        <w:t>响应文件统一用</w:t>
      </w:r>
      <w:r>
        <w:rPr>
          <w:highlight w:val="none"/>
        </w:rPr>
        <w:t>A4</w:t>
      </w:r>
      <w:r>
        <w:rPr>
          <w:rFonts w:hint="eastAsia"/>
          <w:highlight w:val="none"/>
        </w:rPr>
        <w:t>幅面纸印制，除另有规定外。</w:t>
      </w:r>
    </w:p>
    <w:bookmarkEnd w:id="96"/>
    <w:bookmarkEnd w:id="97"/>
    <w:p>
      <w:pPr>
        <w:pStyle w:val="5"/>
        <w:spacing w:line="360" w:lineRule="auto"/>
        <w:rPr>
          <w:rFonts w:ascii="宋体"/>
          <w:b w:val="0"/>
          <w:szCs w:val="24"/>
          <w:highlight w:val="none"/>
        </w:rPr>
      </w:pPr>
      <w:bookmarkStart w:id="98" w:name="_Toc96702536"/>
      <w:bookmarkStart w:id="99" w:name="_Toc77400781"/>
      <w:bookmarkStart w:id="100" w:name="_Toc183682363"/>
      <w:bookmarkStart w:id="101" w:name="_Toc217446053"/>
      <w:bookmarkStart w:id="102" w:name="_Toc183582226"/>
      <w:bookmarkStart w:id="103" w:name="_Toc89075877"/>
      <w:r>
        <w:rPr>
          <w:rFonts w:hint="eastAsia"/>
          <w:szCs w:val="24"/>
          <w:highlight w:val="none"/>
        </w:rPr>
        <w:t>19.响应文件的密封和标注</w:t>
      </w:r>
      <w:r>
        <w:rPr>
          <w:rFonts w:hint="eastAsia" w:ascii="宋体" w:hAnsi="宋体"/>
          <w:b w:val="0"/>
          <w:bCs w:val="0"/>
          <w:color w:val="000000"/>
          <w:szCs w:val="24"/>
          <w:highlight w:val="none"/>
        </w:rPr>
        <w:t>（</w:t>
      </w:r>
      <w:r>
        <w:rPr>
          <w:rFonts w:hint="eastAsia" w:ascii="宋体"/>
          <w:b w:val="0"/>
          <w:szCs w:val="24"/>
          <w:highlight w:val="none"/>
        </w:rPr>
        <w:t>不属于本项目谈判小组评审范畴，由采购人、采购代理机构在接收响应文件时及时处理）</w:t>
      </w:r>
      <w:bookmarkEnd w:id="98"/>
    </w:p>
    <w:p>
      <w:pPr>
        <w:tabs>
          <w:tab w:val="left" w:pos="1080"/>
        </w:tabs>
        <w:spacing w:line="360" w:lineRule="auto"/>
        <w:ind w:firstLine="460" w:firstLineChars="192"/>
        <w:rPr>
          <w:highlight w:val="none"/>
        </w:rPr>
      </w:pPr>
      <w:r>
        <w:rPr>
          <w:rFonts w:hint="eastAsia"/>
          <w:highlight w:val="none"/>
        </w:rPr>
        <w:t>19.1 响应文件可以单独密封包装，也可以所有响应文件密封包装在一个密封袋内。</w:t>
      </w:r>
    </w:p>
    <w:p>
      <w:pPr>
        <w:tabs>
          <w:tab w:val="left" w:pos="1080"/>
        </w:tabs>
        <w:spacing w:line="360" w:lineRule="auto"/>
        <w:ind w:firstLine="460" w:firstLineChars="192"/>
        <w:rPr>
          <w:highlight w:val="none"/>
        </w:rPr>
      </w:pPr>
      <w:r>
        <w:rPr>
          <w:rFonts w:hint="eastAsia"/>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color w:val="000000"/>
          <w:highlight w:val="none"/>
        </w:rPr>
      </w:pPr>
      <w:r>
        <w:rPr>
          <w:rFonts w:hint="eastAsia"/>
          <w:color w:val="000000"/>
          <w:highlight w:val="none"/>
        </w:rPr>
        <w:t>19.3 所有外层密封袋的封口处应粘贴牢固。</w:t>
      </w:r>
    </w:p>
    <w:p>
      <w:pPr>
        <w:tabs>
          <w:tab w:val="left" w:pos="1080"/>
        </w:tabs>
        <w:spacing w:line="360" w:lineRule="auto"/>
        <w:ind w:firstLine="460" w:firstLineChars="192"/>
        <w:rPr>
          <w:color w:val="000000"/>
          <w:highlight w:val="none"/>
        </w:rPr>
      </w:pPr>
      <w:r>
        <w:rPr>
          <w:rFonts w:hint="eastAsia"/>
          <w:color w:val="000000"/>
          <w:highlight w:val="none"/>
        </w:rPr>
        <w:t>19.4 未按以上要求进行密封和标注的响应文件，采购人、采购代理机构将拒收或者在时间允许的范围内，要求修改完善后接收。</w:t>
      </w:r>
    </w:p>
    <w:p>
      <w:pPr>
        <w:pStyle w:val="5"/>
        <w:spacing w:line="360" w:lineRule="auto"/>
        <w:rPr>
          <w:szCs w:val="24"/>
          <w:highlight w:val="none"/>
        </w:rPr>
      </w:pPr>
      <w:bookmarkStart w:id="104" w:name="_Toc96702537"/>
      <w:r>
        <w:rPr>
          <w:rFonts w:hint="eastAsia"/>
          <w:szCs w:val="24"/>
          <w:highlight w:val="none"/>
        </w:rPr>
        <w:t>20.响应文件的递交</w:t>
      </w:r>
      <w:bookmarkEnd w:id="104"/>
    </w:p>
    <w:p>
      <w:pPr>
        <w:tabs>
          <w:tab w:val="left" w:pos="1080"/>
        </w:tabs>
        <w:spacing w:line="360" w:lineRule="auto"/>
        <w:ind w:firstLine="460" w:firstLineChars="192"/>
        <w:rPr>
          <w:color w:val="000000"/>
          <w:highlight w:val="none"/>
        </w:rPr>
      </w:pPr>
      <w:r>
        <w:rPr>
          <w:rFonts w:hint="eastAsia"/>
          <w:color w:val="000000"/>
          <w:highlight w:val="none"/>
        </w:rPr>
        <w:t>20.1响应文件</w:t>
      </w:r>
      <w:r>
        <w:rPr>
          <w:rFonts w:hint="eastAsia"/>
          <w:highlight w:val="none"/>
        </w:rPr>
        <w:t>应于递交响应文件截止时间前</w:t>
      </w:r>
      <w:r>
        <w:rPr>
          <w:rFonts w:hint="eastAsia"/>
          <w:color w:val="000000"/>
          <w:highlight w:val="none"/>
        </w:rPr>
        <w:t>送达指定地点，采购代理机构拒绝接收截止时间后送达的响应文件。</w:t>
      </w:r>
    </w:p>
    <w:p>
      <w:pPr>
        <w:tabs>
          <w:tab w:val="left" w:pos="1080"/>
        </w:tabs>
        <w:spacing w:line="360" w:lineRule="auto"/>
        <w:ind w:firstLine="460" w:firstLineChars="192"/>
        <w:rPr>
          <w:color w:val="000000"/>
          <w:highlight w:val="none"/>
        </w:rPr>
      </w:pPr>
      <w:r>
        <w:rPr>
          <w:rFonts w:hint="eastAsia"/>
          <w:color w:val="000000"/>
          <w:highlight w:val="none"/>
        </w:rPr>
        <w:t>20.2 采购代理机构将向通过资格审查的供应商发出谈判邀请；告知未通过资格审查的供应商未通过的原因。</w:t>
      </w:r>
    </w:p>
    <w:p>
      <w:pPr>
        <w:tabs>
          <w:tab w:val="left" w:pos="1080"/>
        </w:tabs>
        <w:spacing w:line="360" w:lineRule="auto"/>
        <w:ind w:firstLine="460" w:firstLineChars="192"/>
        <w:rPr>
          <w:color w:val="000000"/>
          <w:highlight w:val="none"/>
        </w:rPr>
      </w:pPr>
      <w:r>
        <w:rPr>
          <w:rFonts w:hint="eastAsia"/>
          <w:color w:val="000000"/>
          <w:highlight w:val="none"/>
        </w:rPr>
        <w:t>20.3 报价表在谈判后，谈判小组要求供应商进行最后报价时递交。</w:t>
      </w:r>
    </w:p>
    <w:bookmarkEnd w:id="99"/>
    <w:bookmarkEnd w:id="100"/>
    <w:bookmarkEnd w:id="101"/>
    <w:bookmarkEnd w:id="102"/>
    <w:bookmarkEnd w:id="103"/>
    <w:p>
      <w:pPr>
        <w:pStyle w:val="5"/>
        <w:spacing w:line="360" w:lineRule="auto"/>
        <w:rPr>
          <w:rFonts w:ascii="宋体" w:hAnsi="宋体"/>
          <w:b w:val="0"/>
          <w:color w:val="000000"/>
          <w:szCs w:val="24"/>
          <w:highlight w:val="none"/>
        </w:rPr>
      </w:pPr>
      <w:bookmarkStart w:id="105" w:name="_Toc96702538"/>
      <w:bookmarkStart w:id="106" w:name="_Toc217446055"/>
      <w:bookmarkStart w:id="107" w:name="_Toc183582228"/>
      <w:bookmarkStart w:id="108" w:name="_Toc183682365"/>
      <w:r>
        <w:rPr>
          <w:rFonts w:hint="eastAsia"/>
          <w:szCs w:val="24"/>
          <w:highlight w:val="none"/>
        </w:rPr>
        <w:t>21.响应文件的修改和撤回</w:t>
      </w:r>
      <w:r>
        <w:rPr>
          <w:rFonts w:hint="eastAsia" w:ascii="宋体" w:hAnsi="宋体"/>
          <w:b w:val="0"/>
          <w:bCs w:val="0"/>
          <w:color w:val="000000"/>
          <w:szCs w:val="24"/>
          <w:highlight w:val="none"/>
        </w:rPr>
        <w:t>（</w:t>
      </w:r>
      <w:r>
        <w:rPr>
          <w:rFonts w:hint="eastAsia" w:ascii="宋体" w:hAnsi="宋体"/>
          <w:b w:val="0"/>
          <w:color w:val="000000"/>
          <w:szCs w:val="24"/>
          <w:highlight w:val="none"/>
        </w:rPr>
        <w:t>补充、修改响应文件的</w:t>
      </w:r>
      <w:r>
        <w:rPr>
          <w:rFonts w:hint="eastAsia" w:ascii="宋体"/>
          <w:b w:val="0"/>
          <w:color w:val="000000"/>
          <w:szCs w:val="24"/>
          <w:highlight w:val="none"/>
        </w:rPr>
        <w:t>密封和标注按照本章“19.响应文件的密封和标注”规定处理</w:t>
      </w:r>
      <w:r>
        <w:rPr>
          <w:rFonts w:hint="eastAsia" w:ascii="宋体" w:hAnsi="宋体"/>
          <w:b w:val="0"/>
          <w:color w:val="000000"/>
          <w:szCs w:val="24"/>
          <w:highlight w:val="none"/>
        </w:rPr>
        <w:t>）</w:t>
      </w:r>
      <w:bookmarkEnd w:id="105"/>
    </w:p>
    <w:p>
      <w:pPr>
        <w:pStyle w:val="14"/>
        <w:spacing w:line="360" w:lineRule="auto"/>
        <w:ind w:firstLine="480"/>
        <w:rPr>
          <w:rFonts w:ascii="宋体" w:hAnsi="宋体"/>
          <w:color w:val="000000"/>
          <w:highlight w:val="none"/>
        </w:rPr>
      </w:pPr>
      <w:r>
        <w:rPr>
          <w:rFonts w:hint="eastAsia" w:ascii="宋体" w:hAnsi="宋体"/>
          <w:color w:val="000000"/>
          <w:highlight w:val="none"/>
        </w:rPr>
        <w:t>21</w:t>
      </w:r>
      <w:r>
        <w:rPr>
          <w:rFonts w:ascii="宋体" w:hAnsi="宋体"/>
          <w:color w:val="000000"/>
          <w:highlight w:val="none"/>
        </w:rPr>
        <w:t>.</w:t>
      </w:r>
      <w:r>
        <w:rPr>
          <w:rFonts w:hint="eastAsia" w:ascii="宋体" w:hAnsi="宋体"/>
          <w:color w:val="000000"/>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color w:val="000000"/>
          <w:highlight w:val="none"/>
        </w:rPr>
      </w:pPr>
      <w:r>
        <w:rPr>
          <w:rFonts w:hint="eastAsia"/>
          <w:color w:val="000000"/>
          <w:highlight w:val="none"/>
        </w:rPr>
        <w:t>21</w:t>
      </w:r>
      <w:r>
        <w:rPr>
          <w:color w:val="000000"/>
          <w:highlight w:val="none"/>
        </w:rPr>
        <w:t>.</w:t>
      </w:r>
      <w:r>
        <w:rPr>
          <w:rFonts w:hint="eastAsia"/>
          <w:color w:val="000000"/>
          <w:highlight w:val="none"/>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color w:val="000000"/>
          <w:highlight w:val="none"/>
        </w:rPr>
      </w:pPr>
      <w:r>
        <w:rPr>
          <w:rFonts w:hint="eastAsia"/>
          <w:color w:val="000000"/>
          <w:highlight w:val="none"/>
        </w:rPr>
        <w:t>21</w:t>
      </w:r>
      <w:r>
        <w:rPr>
          <w:color w:val="000000"/>
          <w:highlight w:val="none"/>
        </w:rPr>
        <w:t>.</w:t>
      </w:r>
      <w:r>
        <w:rPr>
          <w:rFonts w:hint="eastAsia"/>
          <w:color w:val="000000"/>
          <w:highlight w:val="none"/>
        </w:rPr>
        <w:t>3 供应商不得在递交截止时间起至响应文件有效期期满前撤回其响应文件。否则其谈判保证金将按第二部分供应商采购须知的相关规定被没收。</w:t>
      </w:r>
    </w:p>
    <w:p>
      <w:pPr>
        <w:spacing w:line="360" w:lineRule="auto"/>
        <w:ind w:firstLine="480"/>
        <w:rPr>
          <w:highlight w:val="none"/>
        </w:rPr>
      </w:pPr>
      <w:r>
        <w:rPr>
          <w:rFonts w:hint="eastAsia"/>
          <w:highlight w:val="none"/>
        </w:rPr>
        <w:t>21.4 响应文件中报价如果出现下列不一致的，可按以下原则进行修改：</w:t>
      </w:r>
    </w:p>
    <w:p>
      <w:pPr>
        <w:spacing w:line="360" w:lineRule="auto"/>
        <w:ind w:firstLine="480"/>
        <w:rPr>
          <w:highlight w:val="none"/>
        </w:rPr>
      </w:pPr>
      <w:r>
        <w:rPr>
          <w:rFonts w:hint="eastAsia"/>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highlight w:val="none"/>
        </w:rPr>
      </w:pPr>
      <w:r>
        <w:rPr>
          <w:rFonts w:hint="eastAsia"/>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highlight w:val="none"/>
        </w:rPr>
      </w:pPr>
      <w:r>
        <w:rPr>
          <w:rFonts w:hint="eastAsia"/>
          <w:highlight w:val="none"/>
        </w:rPr>
        <w:t>（三）单价金额小数点或者百分比有明显错位的，以总价为准，修正单价。</w:t>
      </w:r>
    </w:p>
    <w:p>
      <w:pPr>
        <w:spacing w:line="360" w:lineRule="auto"/>
        <w:ind w:firstLine="480" w:firstLineChars="200"/>
        <w:rPr>
          <w:highlight w:val="none"/>
        </w:rPr>
      </w:pPr>
      <w:r>
        <w:rPr>
          <w:rFonts w:hint="eastAsia"/>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color w:val="000000"/>
          <w:highlight w:val="none"/>
        </w:rPr>
      </w:pPr>
      <w:r>
        <w:rPr>
          <w:rFonts w:hint="eastAsia"/>
          <w:color w:val="000000"/>
          <w:highlight w:val="none"/>
        </w:rPr>
        <w:t>21.5 供应商对其提交的响应文件的真实性、合法性承担法律责任。</w:t>
      </w:r>
      <w:bookmarkEnd w:id="106"/>
      <w:bookmarkEnd w:id="107"/>
      <w:bookmarkEnd w:id="108"/>
    </w:p>
    <w:p>
      <w:pPr>
        <w:pStyle w:val="4"/>
        <w:keepNext w:val="0"/>
        <w:keepLines w:val="0"/>
        <w:spacing w:line="360" w:lineRule="auto"/>
        <w:rPr>
          <w:color w:val="000000"/>
          <w:sz w:val="24"/>
          <w:szCs w:val="24"/>
          <w:highlight w:val="none"/>
        </w:rPr>
      </w:pPr>
      <w:bookmarkStart w:id="109" w:name="_Toc96702539"/>
      <w:r>
        <w:rPr>
          <w:rFonts w:hint="eastAsia"/>
          <w:color w:val="000000"/>
          <w:sz w:val="24"/>
          <w:szCs w:val="24"/>
          <w:highlight w:val="none"/>
        </w:rPr>
        <w:t>五、评审</w:t>
      </w:r>
      <w:bookmarkEnd w:id="109"/>
    </w:p>
    <w:p>
      <w:pPr>
        <w:pStyle w:val="5"/>
        <w:spacing w:line="360" w:lineRule="auto"/>
        <w:rPr>
          <w:szCs w:val="24"/>
          <w:highlight w:val="none"/>
        </w:rPr>
      </w:pPr>
      <w:bookmarkStart w:id="110" w:name="_Toc96702540"/>
      <w:r>
        <w:rPr>
          <w:rFonts w:hint="eastAsia"/>
          <w:szCs w:val="24"/>
          <w:highlight w:val="none"/>
        </w:rPr>
        <w:t xml:space="preserve">22. </w:t>
      </w:r>
      <w:r>
        <w:rPr>
          <w:rFonts w:hint="eastAsia"/>
          <w:b w:val="0"/>
          <w:bCs w:val="0"/>
          <w:szCs w:val="24"/>
          <w:highlight w:val="none"/>
        </w:rPr>
        <w:t>谈判小组的组建及其评审工作按照有关法律制度和本文件第七章的规定进行。</w:t>
      </w:r>
      <w:bookmarkEnd w:id="110"/>
    </w:p>
    <w:p>
      <w:pPr>
        <w:pStyle w:val="4"/>
        <w:keepNext w:val="0"/>
        <w:keepLines w:val="0"/>
        <w:spacing w:line="360" w:lineRule="auto"/>
        <w:rPr>
          <w:rFonts w:ascii="黑体" w:hAnsi="宋体"/>
          <w:color w:val="000000"/>
          <w:sz w:val="24"/>
          <w:szCs w:val="24"/>
          <w:highlight w:val="none"/>
        </w:rPr>
      </w:pPr>
      <w:bookmarkStart w:id="111" w:name="_Toc96702541"/>
      <w:r>
        <w:rPr>
          <w:rFonts w:hint="eastAsia" w:ascii="黑体" w:hAnsi="宋体"/>
          <w:color w:val="000000"/>
          <w:sz w:val="24"/>
          <w:szCs w:val="24"/>
          <w:highlight w:val="none"/>
        </w:rPr>
        <w:t>六、成交事项</w:t>
      </w:r>
      <w:bookmarkEnd w:id="111"/>
    </w:p>
    <w:p>
      <w:pPr>
        <w:pStyle w:val="5"/>
        <w:spacing w:line="360" w:lineRule="auto"/>
        <w:rPr>
          <w:szCs w:val="24"/>
          <w:highlight w:val="none"/>
        </w:rPr>
      </w:pPr>
      <w:bookmarkStart w:id="112" w:name="_Toc96702542"/>
      <w:r>
        <w:rPr>
          <w:rFonts w:hint="eastAsia"/>
          <w:szCs w:val="24"/>
          <w:highlight w:val="none"/>
        </w:rPr>
        <w:t>23.确定成交供应商</w:t>
      </w:r>
      <w:bookmarkEnd w:id="112"/>
    </w:p>
    <w:p>
      <w:pPr>
        <w:spacing w:line="360" w:lineRule="auto"/>
        <w:ind w:firstLine="480"/>
        <w:rPr>
          <w:highlight w:val="none"/>
        </w:rPr>
      </w:pPr>
      <w:bookmarkStart w:id="113" w:name="_Toc96702543"/>
      <w:r>
        <w:rPr>
          <w:rFonts w:hint="eastAsia"/>
          <w:highlight w:val="none"/>
        </w:rPr>
        <w:t>采购人授权谈判小组根据供应商综合得分排名直接确定成交供应商。采购人将按谈判小组推荐的成交候选供应商顺序确定成交供应商。</w:t>
      </w:r>
      <w:bookmarkEnd w:id="113"/>
    </w:p>
    <w:p>
      <w:pPr>
        <w:spacing w:line="360" w:lineRule="auto"/>
        <w:ind w:firstLine="480"/>
        <w:rPr>
          <w:highlight w:val="none"/>
        </w:rPr>
      </w:pPr>
      <w:bookmarkStart w:id="114" w:name="_Toc96702544"/>
      <w:r>
        <w:rPr>
          <w:rFonts w:hint="eastAsia"/>
          <w:highlight w:val="none"/>
        </w:rPr>
        <w:t>23.1采购代理机构自评审结束后将谈判报告及有关资料送交采购人确定成交供应商。</w:t>
      </w:r>
      <w:bookmarkEnd w:id="114"/>
    </w:p>
    <w:p>
      <w:pPr>
        <w:spacing w:line="360" w:lineRule="auto"/>
        <w:ind w:firstLine="480"/>
        <w:rPr>
          <w:highlight w:val="none"/>
        </w:rPr>
      </w:pPr>
      <w:bookmarkStart w:id="115" w:name="_Toc96702545"/>
      <w:r>
        <w:rPr>
          <w:rFonts w:hint="eastAsia"/>
          <w:highlight w:val="none"/>
        </w:rPr>
        <w:t>23.2采购人收到谈判报告及有关资料后，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bookmarkEnd w:id="115"/>
    </w:p>
    <w:p>
      <w:pPr>
        <w:spacing w:line="360" w:lineRule="auto"/>
        <w:ind w:firstLine="480"/>
        <w:rPr>
          <w:highlight w:val="none"/>
        </w:rPr>
      </w:pPr>
      <w:bookmarkStart w:id="116" w:name="_Toc96702546"/>
      <w:r>
        <w:rPr>
          <w:rFonts w:hint="eastAsia"/>
          <w:highlight w:val="none"/>
        </w:rPr>
        <w:t>23.3采购人确定成交供应商过程中，发现成交候选供应商有下列情形之一的，应当不予确定其为成交供应商：</w:t>
      </w:r>
      <w:bookmarkEnd w:id="116"/>
    </w:p>
    <w:p>
      <w:pPr>
        <w:spacing w:line="360" w:lineRule="auto"/>
        <w:ind w:firstLine="480"/>
        <w:rPr>
          <w:highlight w:val="none"/>
        </w:rPr>
      </w:pPr>
      <w:bookmarkStart w:id="117" w:name="_Toc96702547"/>
      <w:r>
        <w:rPr>
          <w:rFonts w:hint="eastAsia"/>
          <w:highlight w:val="none"/>
        </w:rPr>
        <w:t>（1）发现成交候选供应商存在禁止参加本项目采购活动的违法行为的；</w:t>
      </w:r>
      <w:bookmarkEnd w:id="117"/>
    </w:p>
    <w:p>
      <w:pPr>
        <w:spacing w:line="360" w:lineRule="auto"/>
        <w:ind w:firstLine="480"/>
        <w:rPr>
          <w:highlight w:val="none"/>
        </w:rPr>
      </w:pPr>
      <w:bookmarkStart w:id="118" w:name="_Toc96702548"/>
      <w:r>
        <w:rPr>
          <w:rFonts w:hint="eastAsia"/>
          <w:highlight w:val="none"/>
        </w:rPr>
        <w:t>（2）成交候选供应商因不可抗力，不能继续参加采购活动。</w:t>
      </w:r>
      <w:bookmarkEnd w:id="118"/>
    </w:p>
    <w:p>
      <w:pPr>
        <w:spacing w:line="360" w:lineRule="auto"/>
        <w:ind w:firstLine="480"/>
        <w:rPr>
          <w:highlight w:val="none"/>
        </w:rPr>
      </w:pPr>
      <w:bookmarkStart w:id="119" w:name="_Toc96702549"/>
      <w:r>
        <w:rPr>
          <w:rFonts w:hint="eastAsia"/>
          <w:highlight w:val="none"/>
        </w:rPr>
        <w:t>（3）成交候选供应商无偿赠与或者低于成本价竞争；</w:t>
      </w:r>
      <w:bookmarkEnd w:id="119"/>
    </w:p>
    <w:p>
      <w:pPr>
        <w:spacing w:line="360" w:lineRule="auto"/>
        <w:ind w:firstLine="480"/>
        <w:rPr>
          <w:highlight w:val="none"/>
        </w:rPr>
      </w:pPr>
      <w:bookmarkStart w:id="120" w:name="_Toc96702550"/>
      <w:r>
        <w:rPr>
          <w:rFonts w:hint="eastAsia"/>
          <w:highlight w:val="none"/>
        </w:rPr>
        <w:t>（4）成交候选供应商提供虚假材料；</w:t>
      </w:r>
      <w:bookmarkEnd w:id="120"/>
    </w:p>
    <w:p>
      <w:pPr>
        <w:spacing w:line="360" w:lineRule="auto"/>
        <w:ind w:firstLine="480"/>
        <w:rPr>
          <w:highlight w:val="none"/>
        </w:rPr>
      </w:pPr>
      <w:bookmarkStart w:id="121" w:name="_Toc96702551"/>
      <w:r>
        <w:rPr>
          <w:rFonts w:hint="eastAsia"/>
          <w:highlight w:val="none"/>
        </w:rPr>
        <w:t>（5）成交候选供应商恶意串通。</w:t>
      </w:r>
      <w:bookmarkEnd w:id="121"/>
    </w:p>
    <w:p>
      <w:pPr>
        <w:spacing w:line="360" w:lineRule="auto"/>
        <w:ind w:firstLine="480"/>
        <w:rPr>
          <w:highlight w:val="none"/>
        </w:rPr>
      </w:pPr>
      <w:bookmarkStart w:id="122" w:name="_Toc96702552"/>
      <w:r>
        <w:rPr>
          <w:rFonts w:hint="eastAsia"/>
          <w:highlight w:val="none"/>
        </w:rPr>
        <w:t>成交候选供应商有本条情形之一的，采购人可以确定后一位成交候选供应商为成交供应商，依次类推。无法确定成交供应商的，应当重新组织采购。</w:t>
      </w:r>
      <w:bookmarkEnd w:id="122"/>
    </w:p>
    <w:p>
      <w:pPr>
        <w:pStyle w:val="5"/>
        <w:spacing w:line="360" w:lineRule="auto"/>
        <w:rPr>
          <w:szCs w:val="24"/>
          <w:highlight w:val="none"/>
        </w:rPr>
      </w:pPr>
      <w:bookmarkStart w:id="123" w:name="_Toc96702553"/>
      <w:r>
        <w:rPr>
          <w:rFonts w:hint="eastAsia"/>
          <w:szCs w:val="24"/>
          <w:highlight w:val="none"/>
        </w:rPr>
        <w:t>2</w:t>
      </w:r>
      <w:r>
        <w:rPr>
          <w:szCs w:val="24"/>
          <w:highlight w:val="none"/>
        </w:rPr>
        <w:t>4</w:t>
      </w:r>
      <w:r>
        <w:rPr>
          <w:rFonts w:hint="eastAsia"/>
          <w:szCs w:val="24"/>
          <w:highlight w:val="none"/>
        </w:rPr>
        <w:t>.成交结果</w:t>
      </w:r>
      <w:bookmarkEnd w:id="123"/>
    </w:p>
    <w:p>
      <w:pPr>
        <w:pStyle w:val="4"/>
        <w:keepNext w:val="0"/>
        <w:keepLines w:val="0"/>
        <w:spacing w:before="0" w:after="0" w:line="360" w:lineRule="auto"/>
        <w:ind w:firstLine="480" w:firstLineChars="200"/>
        <w:jc w:val="left"/>
        <w:rPr>
          <w:rFonts w:ascii="宋体" w:hAnsi="宋体" w:eastAsia="宋体"/>
          <w:b w:val="0"/>
          <w:color w:val="000000"/>
          <w:sz w:val="24"/>
          <w:szCs w:val="24"/>
          <w:highlight w:val="none"/>
        </w:rPr>
      </w:pPr>
      <w:bookmarkStart w:id="124" w:name="_Toc96702554"/>
      <w:r>
        <w:rPr>
          <w:rFonts w:hint="eastAsia" w:ascii="宋体" w:hAnsi="宋体" w:eastAsia="宋体"/>
          <w:b w:val="0"/>
          <w:color w:val="000000"/>
          <w:sz w:val="24"/>
          <w:szCs w:val="24"/>
          <w:highlight w:val="none"/>
        </w:rPr>
        <w:t>2</w:t>
      </w:r>
      <w:r>
        <w:rPr>
          <w:rFonts w:ascii="宋体" w:hAnsi="宋体" w:eastAsia="宋体"/>
          <w:b w:val="0"/>
          <w:color w:val="000000"/>
          <w:sz w:val="24"/>
          <w:szCs w:val="24"/>
          <w:highlight w:val="none"/>
        </w:rPr>
        <w:t>4</w:t>
      </w:r>
      <w:r>
        <w:rPr>
          <w:rFonts w:hint="eastAsia" w:ascii="宋体" w:hAnsi="宋体" w:eastAsia="宋体"/>
          <w:b w:val="0"/>
          <w:color w:val="000000"/>
          <w:sz w:val="24"/>
          <w:szCs w:val="24"/>
          <w:highlight w:val="none"/>
        </w:rPr>
        <w:t>.1采购人确定成交供应商后，将及时书面通知采购代理机构，发出成交通知书并发布成交结果公告。</w:t>
      </w:r>
      <w:bookmarkEnd w:id="124"/>
    </w:p>
    <w:p>
      <w:pPr>
        <w:spacing w:line="360" w:lineRule="auto"/>
        <w:ind w:firstLine="465"/>
        <w:rPr>
          <w:highlight w:val="none"/>
        </w:rPr>
      </w:pPr>
      <w:r>
        <w:rPr>
          <w:rFonts w:hint="eastAsia"/>
          <w:highlight w:val="none"/>
        </w:rPr>
        <w:t>2</w:t>
      </w:r>
      <w:r>
        <w:rPr>
          <w:highlight w:val="none"/>
        </w:rPr>
        <w:t>4</w:t>
      </w:r>
      <w:r>
        <w:rPr>
          <w:rFonts w:hint="eastAsia"/>
          <w:highlight w:val="none"/>
        </w:rPr>
        <w:t>.2成交供应商应当及时领取成交通知书。本项目需要交纳履约保证金的，成交供应商应当及时向采购人交纳。</w:t>
      </w:r>
    </w:p>
    <w:p>
      <w:pPr>
        <w:spacing w:line="360" w:lineRule="auto"/>
        <w:ind w:firstLine="480" w:firstLineChars="200"/>
        <w:rPr>
          <w:highlight w:val="none"/>
        </w:rPr>
      </w:pPr>
      <w:r>
        <w:rPr>
          <w:rFonts w:hint="eastAsia"/>
          <w:highlight w:val="none"/>
        </w:rPr>
        <w:t>2</w:t>
      </w:r>
      <w:r>
        <w:rPr>
          <w:highlight w:val="none"/>
        </w:rPr>
        <w:t>4</w:t>
      </w:r>
      <w:r>
        <w:rPr>
          <w:rFonts w:hint="eastAsia"/>
          <w:highlight w:val="none"/>
        </w:rPr>
        <w:t>.3成交供应商不能及时领取成交通知书，采购人或者采购代理机构应当通过邮寄、快递等方式将项目成交通知书送达成交供应商。</w:t>
      </w:r>
    </w:p>
    <w:p>
      <w:pPr>
        <w:pStyle w:val="5"/>
        <w:spacing w:line="360" w:lineRule="auto"/>
        <w:rPr>
          <w:szCs w:val="24"/>
          <w:highlight w:val="none"/>
        </w:rPr>
      </w:pPr>
      <w:bookmarkStart w:id="125" w:name="_Toc96702555"/>
      <w:r>
        <w:rPr>
          <w:rFonts w:hint="eastAsia"/>
          <w:szCs w:val="24"/>
          <w:highlight w:val="none"/>
        </w:rPr>
        <w:t>2</w:t>
      </w:r>
      <w:r>
        <w:rPr>
          <w:szCs w:val="24"/>
          <w:highlight w:val="none"/>
        </w:rPr>
        <w:t>5</w:t>
      </w:r>
      <w:r>
        <w:rPr>
          <w:rFonts w:hint="eastAsia"/>
          <w:szCs w:val="24"/>
          <w:highlight w:val="none"/>
        </w:rPr>
        <w:t>.成交通知书</w:t>
      </w:r>
      <w:bookmarkEnd w:id="125"/>
    </w:p>
    <w:p>
      <w:pPr>
        <w:spacing w:line="360" w:lineRule="auto"/>
        <w:ind w:firstLine="480"/>
        <w:rPr>
          <w:highlight w:val="none"/>
        </w:rPr>
      </w:pPr>
      <w:bookmarkStart w:id="126" w:name="_Toc96702556"/>
      <w:r>
        <w:rPr>
          <w:rFonts w:hint="eastAsia"/>
          <w:highlight w:val="none"/>
        </w:rPr>
        <w:t>2</w:t>
      </w:r>
      <w:r>
        <w:rPr>
          <w:highlight w:val="none"/>
        </w:rPr>
        <w:t>5</w:t>
      </w:r>
      <w:r>
        <w:rPr>
          <w:rFonts w:hint="eastAsia"/>
          <w:highlight w:val="none"/>
        </w:rPr>
        <w:t>.1成交通知书为签订采购合同的依据之一，是合同的有效组成部分。</w:t>
      </w:r>
      <w:bookmarkEnd w:id="126"/>
    </w:p>
    <w:p>
      <w:pPr>
        <w:spacing w:line="360" w:lineRule="auto"/>
        <w:ind w:firstLine="480"/>
        <w:rPr>
          <w:highlight w:val="none"/>
        </w:rPr>
      </w:pPr>
      <w:bookmarkStart w:id="127" w:name="_Toc96702557"/>
      <w:r>
        <w:rPr>
          <w:rFonts w:hint="eastAsia"/>
          <w:highlight w:val="none"/>
        </w:rPr>
        <w:t>2</w:t>
      </w:r>
      <w:r>
        <w:rPr>
          <w:highlight w:val="none"/>
        </w:rPr>
        <w:t>5</w:t>
      </w:r>
      <w:r>
        <w:rPr>
          <w:rFonts w:hint="eastAsia"/>
          <w:highlight w:val="none"/>
        </w:rPr>
        <w:t>.2成交通知书对采购人和成交供应商均具有法律效力。成交通知书发出后，采购人无正当理由改变成交结果，或者成交供应商无正当理由放弃成交的，将承担相应的法律责任。</w:t>
      </w:r>
      <w:bookmarkEnd w:id="127"/>
    </w:p>
    <w:p>
      <w:pPr>
        <w:spacing w:line="360" w:lineRule="auto"/>
        <w:ind w:firstLine="480"/>
        <w:rPr>
          <w:highlight w:val="none"/>
        </w:rPr>
      </w:pPr>
      <w:bookmarkStart w:id="128" w:name="_Toc96702558"/>
      <w:r>
        <w:rPr>
          <w:rFonts w:hint="eastAsia"/>
          <w:highlight w:val="none"/>
        </w:rPr>
        <w:t>2</w:t>
      </w:r>
      <w:r>
        <w:rPr>
          <w:highlight w:val="none"/>
        </w:rPr>
        <w:t>5</w:t>
      </w:r>
      <w:r>
        <w:rPr>
          <w:rFonts w:hint="eastAsia"/>
          <w:highlight w:val="none"/>
        </w:rPr>
        <w:t>.3成交供应商的响应文件作为无效响应文件处理或者有法律法规规章制度规定的成交无效情形的，采购人/采购代理机构在取得有权主体的认定以后，有权宣布发出的成交通知书无效，并收回发出的成交通知书，依法重新确定成交供应商或者重新开展采购活动。</w:t>
      </w:r>
      <w:bookmarkEnd w:id="128"/>
    </w:p>
    <w:p>
      <w:pPr>
        <w:pStyle w:val="4"/>
        <w:keepNext w:val="0"/>
        <w:keepLines w:val="0"/>
        <w:spacing w:line="360" w:lineRule="auto"/>
        <w:rPr>
          <w:color w:val="000000"/>
          <w:sz w:val="24"/>
          <w:szCs w:val="24"/>
          <w:highlight w:val="none"/>
        </w:rPr>
      </w:pPr>
      <w:bookmarkStart w:id="129" w:name="_Toc96702559"/>
      <w:r>
        <w:rPr>
          <w:rFonts w:hint="eastAsia"/>
          <w:color w:val="000000"/>
          <w:sz w:val="24"/>
          <w:szCs w:val="24"/>
          <w:highlight w:val="none"/>
        </w:rPr>
        <w:t>七、合同事项</w:t>
      </w:r>
      <w:bookmarkEnd w:id="129"/>
    </w:p>
    <w:p>
      <w:pPr>
        <w:pStyle w:val="5"/>
        <w:spacing w:line="360" w:lineRule="auto"/>
        <w:rPr>
          <w:szCs w:val="24"/>
          <w:highlight w:val="none"/>
        </w:rPr>
      </w:pPr>
      <w:bookmarkStart w:id="130" w:name="_Toc96702560"/>
      <w:bookmarkStart w:id="131" w:name="_Toc101250646"/>
      <w:bookmarkStart w:id="132" w:name="_Toc430773927"/>
      <w:bookmarkStart w:id="133" w:name="_Toc101174151"/>
      <w:bookmarkStart w:id="134" w:name="_Toc209847069"/>
      <w:bookmarkStart w:id="135" w:name="_Toc101338364"/>
      <w:r>
        <w:rPr>
          <w:rFonts w:hint="eastAsia"/>
          <w:szCs w:val="24"/>
          <w:highlight w:val="none"/>
        </w:rPr>
        <w:t>2</w:t>
      </w:r>
      <w:r>
        <w:rPr>
          <w:szCs w:val="24"/>
          <w:highlight w:val="none"/>
        </w:rPr>
        <w:t>6</w:t>
      </w:r>
      <w:r>
        <w:rPr>
          <w:rFonts w:hint="eastAsia"/>
          <w:szCs w:val="24"/>
          <w:highlight w:val="none"/>
        </w:rPr>
        <w:t>.签订合同</w:t>
      </w:r>
      <w:bookmarkEnd w:id="130"/>
      <w:bookmarkEnd w:id="131"/>
      <w:bookmarkEnd w:id="132"/>
      <w:bookmarkEnd w:id="133"/>
      <w:bookmarkEnd w:id="134"/>
      <w:bookmarkEnd w:id="135"/>
    </w:p>
    <w:p>
      <w:pPr>
        <w:spacing w:line="360" w:lineRule="auto"/>
        <w:ind w:firstLine="480" w:firstLineChars="200"/>
        <w:rPr>
          <w:color w:val="000000"/>
          <w:highlight w:val="none"/>
        </w:rPr>
      </w:pPr>
      <w:r>
        <w:rPr>
          <w:rFonts w:hint="eastAsia"/>
          <w:color w:val="000000"/>
          <w:highlight w:val="none"/>
        </w:rPr>
        <w:t>2</w:t>
      </w:r>
      <w:r>
        <w:rPr>
          <w:color w:val="000000"/>
          <w:highlight w:val="none"/>
        </w:rPr>
        <w:t>6</w:t>
      </w:r>
      <w:r>
        <w:rPr>
          <w:rFonts w:hint="eastAsia"/>
          <w:color w:val="000000"/>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000000"/>
          <w:highlight w:val="none"/>
        </w:rPr>
      </w:pPr>
      <w:r>
        <w:rPr>
          <w:rFonts w:hint="eastAsia"/>
          <w:color w:val="000000"/>
          <w:highlight w:val="none"/>
        </w:rPr>
        <w:t>2</w:t>
      </w:r>
      <w:r>
        <w:rPr>
          <w:color w:val="000000"/>
          <w:highlight w:val="none"/>
        </w:rPr>
        <w:t>6</w:t>
      </w:r>
      <w:r>
        <w:rPr>
          <w:rFonts w:hint="eastAsia"/>
          <w:color w:val="000000"/>
          <w:highlight w:val="none"/>
        </w:rPr>
        <w:t>.2 谈判文件、成交供应商的响应文件及双方确认的澄清文件等，均为有法律约束力的经济合同的组成部分。</w:t>
      </w:r>
    </w:p>
    <w:p>
      <w:pPr>
        <w:spacing w:line="360" w:lineRule="auto"/>
        <w:ind w:firstLine="480" w:firstLineChars="200"/>
        <w:rPr>
          <w:color w:val="000000"/>
          <w:highlight w:val="none"/>
        </w:rPr>
      </w:pPr>
      <w:r>
        <w:rPr>
          <w:rFonts w:hint="eastAsia"/>
          <w:color w:val="000000"/>
          <w:highlight w:val="none"/>
        </w:rPr>
        <w:t>2</w:t>
      </w:r>
      <w:r>
        <w:rPr>
          <w:color w:val="000000"/>
          <w:highlight w:val="none"/>
        </w:rPr>
        <w:t>6</w:t>
      </w:r>
      <w:r>
        <w:rPr>
          <w:rFonts w:hint="eastAsia"/>
          <w:color w:val="000000"/>
          <w:highlight w:val="none"/>
        </w:rPr>
        <w:t>.3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color w:val="000000"/>
          <w:highlight w:val="none"/>
        </w:rPr>
      </w:pPr>
      <w:r>
        <w:rPr>
          <w:rFonts w:hint="eastAsia"/>
          <w:color w:val="000000"/>
          <w:highlight w:val="none"/>
        </w:rPr>
        <w:t>2</w:t>
      </w:r>
      <w:r>
        <w:rPr>
          <w:color w:val="000000"/>
          <w:highlight w:val="none"/>
        </w:rPr>
        <w:t>6</w:t>
      </w:r>
      <w:r>
        <w:rPr>
          <w:rFonts w:hint="eastAsia"/>
          <w:color w:val="000000"/>
          <w:highlight w:val="none"/>
        </w:rPr>
        <w:t>.4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000000"/>
          <w:highlight w:val="none"/>
        </w:rPr>
      </w:pPr>
      <w:r>
        <w:rPr>
          <w:rFonts w:hint="eastAsia"/>
          <w:color w:val="000000"/>
          <w:highlight w:val="none"/>
        </w:rPr>
        <w:t>2</w:t>
      </w:r>
      <w:r>
        <w:rPr>
          <w:color w:val="000000"/>
          <w:highlight w:val="none"/>
        </w:rPr>
        <w:t>6</w:t>
      </w:r>
      <w:r>
        <w:rPr>
          <w:rFonts w:hint="eastAsia"/>
          <w:color w:val="000000"/>
          <w:highlight w:val="none"/>
        </w:rPr>
        <w:t>.5 竞争性谈判文件、成交供应商提交的响应文件、谈判中的最后报价、成交供应商承诺书、成交通知书等均称为有法律约束力的合同组成内容。</w:t>
      </w:r>
    </w:p>
    <w:p>
      <w:pPr>
        <w:pStyle w:val="5"/>
        <w:spacing w:line="360" w:lineRule="auto"/>
        <w:rPr>
          <w:szCs w:val="24"/>
          <w:highlight w:val="none"/>
        </w:rPr>
      </w:pPr>
      <w:bookmarkStart w:id="136" w:name="_Toc96702561"/>
      <w:r>
        <w:rPr>
          <w:rFonts w:hint="eastAsia"/>
          <w:szCs w:val="24"/>
          <w:highlight w:val="none"/>
        </w:rPr>
        <w:t>2</w:t>
      </w:r>
      <w:r>
        <w:rPr>
          <w:szCs w:val="24"/>
          <w:highlight w:val="none"/>
        </w:rPr>
        <w:t>7</w:t>
      </w:r>
      <w:r>
        <w:rPr>
          <w:rFonts w:hint="eastAsia"/>
          <w:szCs w:val="24"/>
          <w:highlight w:val="none"/>
        </w:rPr>
        <w:t>.合同分包（实质性要求）</w:t>
      </w:r>
      <w:bookmarkEnd w:id="136"/>
    </w:p>
    <w:p>
      <w:pPr>
        <w:spacing w:line="360" w:lineRule="auto"/>
        <w:ind w:firstLine="480" w:firstLineChars="200"/>
        <w:rPr>
          <w:color w:val="000000"/>
          <w:highlight w:val="none"/>
        </w:rPr>
      </w:pPr>
      <w:r>
        <w:rPr>
          <w:rFonts w:hint="eastAsia"/>
          <w:color w:val="000000"/>
          <w:highlight w:val="none"/>
        </w:rPr>
        <w:t>2</w:t>
      </w:r>
      <w:r>
        <w:rPr>
          <w:color w:val="000000"/>
          <w:highlight w:val="none"/>
        </w:rPr>
        <w:t>7</w:t>
      </w:r>
      <w:r>
        <w:rPr>
          <w:rFonts w:hint="eastAsia"/>
          <w:color w:val="000000"/>
          <w:highlight w:val="none"/>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000000"/>
          <w:highlight w:val="none"/>
        </w:rPr>
      </w:pPr>
      <w:r>
        <w:rPr>
          <w:rFonts w:hint="eastAsia"/>
          <w:color w:val="000000"/>
          <w:highlight w:val="none"/>
        </w:rPr>
        <w:t>分包履行合同的部分应当为采购项目的非主体、非关键性工作，不属于成交供应商的主要合同义务。</w:t>
      </w:r>
    </w:p>
    <w:p>
      <w:pPr>
        <w:spacing w:line="360" w:lineRule="auto"/>
        <w:ind w:firstLine="480" w:firstLineChars="200"/>
        <w:rPr>
          <w:color w:val="000000"/>
          <w:highlight w:val="none"/>
        </w:rPr>
      </w:pPr>
      <w:r>
        <w:rPr>
          <w:rFonts w:hint="eastAsia"/>
          <w:color w:val="000000"/>
          <w:highlight w:val="none"/>
        </w:rPr>
        <w:t>2</w:t>
      </w:r>
      <w:r>
        <w:rPr>
          <w:color w:val="000000"/>
          <w:highlight w:val="none"/>
        </w:rPr>
        <w:t>7</w:t>
      </w:r>
      <w:r>
        <w:rPr>
          <w:rFonts w:hint="eastAsia"/>
          <w:color w:val="000000"/>
          <w:highlight w:val="none"/>
        </w:rPr>
        <w:t>.2 采购合同实行分包履行的，成交供应商就采购项目和分包项目向采购人负责，分包供应商就分包项目承担责任。</w:t>
      </w:r>
    </w:p>
    <w:p>
      <w:pPr>
        <w:pStyle w:val="5"/>
        <w:spacing w:line="360" w:lineRule="auto"/>
        <w:rPr>
          <w:szCs w:val="24"/>
          <w:highlight w:val="none"/>
        </w:rPr>
      </w:pPr>
      <w:bookmarkStart w:id="137" w:name="_Toc96702562"/>
      <w:r>
        <w:rPr>
          <w:rFonts w:hint="eastAsia"/>
          <w:szCs w:val="24"/>
          <w:highlight w:val="none"/>
        </w:rPr>
        <w:t>2</w:t>
      </w:r>
      <w:r>
        <w:rPr>
          <w:szCs w:val="24"/>
          <w:highlight w:val="none"/>
        </w:rPr>
        <w:t>8</w:t>
      </w:r>
      <w:r>
        <w:rPr>
          <w:rFonts w:hint="eastAsia"/>
          <w:szCs w:val="24"/>
          <w:highlight w:val="none"/>
        </w:rPr>
        <w:t>.合同转包（实质性要求）</w:t>
      </w:r>
      <w:bookmarkEnd w:id="137"/>
    </w:p>
    <w:p>
      <w:pPr>
        <w:spacing w:line="360" w:lineRule="auto"/>
        <w:ind w:firstLine="480" w:firstLineChars="200"/>
        <w:rPr>
          <w:color w:val="000000"/>
          <w:highlight w:val="none"/>
        </w:rPr>
      </w:pPr>
      <w:r>
        <w:rPr>
          <w:rFonts w:hint="eastAsia"/>
          <w:color w:val="000000"/>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000000"/>
          <w:highlight w:val="none"/>
        </w:rPr>
      </w:pPr>
      <w:r>
        <w:rPr>
          <w:rFonts w:hint="eastAsia"/>
          <w:color w:val="000000"/>
          <w:highlight w:val="none"/>
        </w:rPr>
        <w:t>成交供应商转包的，视同拒绝履行采购合同义务，将依法追究法律责任。</w:t>
      </w:r>
    </w:p>
    <w:p>
      <w:pPr>
        <w:pStyle w:val="5"/>
        <w:spacing w:line="360" w:lineRule="auto"/>
        <w:rPr>
          <w:szCs w:val="24"/>
          <w:highlight w:val="none"/>
        </w:rPr>
      </w:pPr>
      <w:bookmarkStart w:id="138" w:name="_Toc96702563"/>
      <w:r>
        <w:rPr>
          <w:szCs w:val="24"/>
          <w:highlight w:val="none"/>
        </w:rPr>
        <w:t>29</w:t>
      </w:r>
      <w:r>
        <w:rPr>
          <w:rFonts w:hint="eastAsia"/>
          <w:szCs w:val="24"/>
          <w:highlight w:val="none"/>
        </w:rPr>
        <w:t>.补充合同</w:t>
      </w:r>
      <w:bookmarkEnd w:id="138"/>
    </w:p>
    <w:p>
      <w:pPr>
        <w:spacing w:line="360" w:lineRule="auto"/>
        <w:ind w:firstLine="480" w:firstLineChars="200"/>
        <w:rPr>
          <w:color w:val="000000"/>
          <w:highlight w:val="none"/>
        </w:rPr>
      </w:pPr>
      <w:r>
        <w:rPr>
          <w:rFonts w:hint="eastAsia"/>
          <w:color w:val="000000"/>
          <w:highlight w:val="none"/>
        </w:rPr>
        <w:t xml:space="preserve">采购合同履行过程中，采购人需要追加与合同标的相同的货物或者服务的，在不改变合同其他条款的前提下，可以与成交供应商协商签订补充合同。 </w:t>
      </w:r>
    </w:p>
    <w:p>
      <w:pPr>
        <w:pStyle w:val="5"/>
        <w:spacing w:line="360" w:lineRule="auto"/>
        <w:rPr>
          <w:szCs w:val="24"/>
          <w:highlight w:val="none"/>
        </w:rPr>
      </w:pPr>
      <w:bookmarkStart w:id="139" w:name="_Toc96702564"/>
      <w:r>
        <w:rPr>
          <w:szCs w:val="24"/>
          <w:highlight w:val="none"/>
        </w:rPr>
        <w:t>30</w:t>
      </w:r>
      <w:r>
        <w:rPr>
          <w:rFonts w:hint="eastAsia"/>
          <w:szCs w:val="24"/>
          <w:highlight w:val="none"/>
        </w:rPr>
        <w:t>.履约保证金（实质性要求）</w:t>
      </w:r>
      <w:bookmarkEnd w:id="139"/>
    </w:p>
    <w:p>
      <w:pPr>
        <w:spacing w:line="360" w:lineRule="auto"/>
        <w:ind w:firstLine="480" w:firstLineChars="200"/>
        <w:rPr>
          <w:color w:val="000000"/>
          <w:highlight w:val="none"/>
        </w:rPr>
      </w:pPr>
      <w:r>
        <w:rPr>
          <w:color w:val="000000"/>
          <w:highlight w:val="none"/>
        </w:rPr>
        <w:t>30</w:t>
      </w:r>
      <w:r>
        <w:rPr>
          <w:rFonts w:hint="eastAsia"/>
          <w:color w:val="000000"/>
          <w:highlight w:val="none"/>
        </w:rPr>
        <w:t>.1 成交供应商应在合同签订之前交纳采购文件规定数额的履约保证金。</w:t>
      </w:r>
    </w:p>
    <w:p>
      <w:pPr>
        <w:spacing w:line="360" w:lineRule="auto"/>
        <w:ind w:firstLine="480" w:firstLineChars="200"/>
        <w:rPr>
          <w:color w:val="000000"/>
          <w:highlight w:val="none"/>
        </w:rPr>
      </w:pPr>
      <w:r>
        <w:rPr>
          <w:color w:val="000000"/>
          <w:highlight w:val="none"/>
        </w:rPr>
        <w:t>30</w:t>
      </w:r>
      <w:r>
        <w:rPr>
          <w:rFonts w:hint="eastAsia"/>
          <w:color w:val="000000"/>
          <w:highlight w:val="none"/>
        </w:rPr>
        <w:t>.2 如果成交供应商在规定的合同签订时间内，没有按照采购文件的规定交纳履约保证金，且又无正当理由的，将视为放弃成交。</w:t>
      </w:r>
    </w:p>
    <w:p>
      <w:pPr>
        <w:pStyle w:val="5"/>
        <w:spacing w:line="360" w:lineRule="auto"/>
        <w:rPr>
          <w:szCs w:val="24"/>
          <w:highlight w:val="none"/>
        </w:rPr>
      </w:pPr>
      <w:bookmarkStart w:id="140" w:name="_Toc96702565"/>
      <w:r>
        <w:rPr>
          <w:rFonts w:hint="eastAsia"/>
          <w:szCs w:val="24"/>
          <w:highlight w:val="none"/>
        </w:rPr>
        <w:t>3</w:t>
      </w:r>
      <w:r>
        <w:rPr>
          <w:szCs w:val="24"/>
          <w:highlight w:val="none"/>
        </w:rPr>
        <w:t>1</w:t>
      </w:r>
      <w:r>
        <w:rPr>
          <w:rFonts w:hint="eastAsia"/>
          <w:szCs w:val="24"/>
          <w:highlight w:val="none"/>
        </w:rPr>
        <w:t>.履行合同</w:t>
      </w:r>
      <w:bookmarkEnd w:id="140"/>
    </w:p>
    <w:p>
      <w:pPr>
        <w:spacing w:line="360" w:lineRule="auto"/>
        <w:ind w:firstLine="480" w:firstLineChars="200"/>
        <w:rPr>
          <w:color w:val="000000"/>
          <w:highlight w:val="none"/>
        </w:rPr>
      </w:pPr>
      <w:r>
        <w:rPr>
          <w:rFonts w:hint="eastAsia"/>
          <w:color w:val="000000"/>
          <w:highlight w:val="none"/>
        </w:rPr>
        <w:t>3</w:t>
      </w:r>
      <w:r>
        <w:rPr>
          <w:color w:val="000000"/>
          <w:highlight w:val="none"/>
        </w:rPr>
        <w:t>1</w:t>
      </w:r>
      <w:r>
        <w:rPr>
          <w:rFonts w:hint="eastAsia"/>
          <w:color w:val="000000"/>
          <w:highlight w:val="none"/>
        </w:rPr>
        <w:t>.1 成交供应商与采购人签订合同后，合同双方应严格执行合同条款，履行合同规定的义务，保证合同的顺利完成。</w:t>
      </w:r>
    </w:p>
    <w:p>
      <w:pPr>
        <w:spacing w:line="360" w:lineRule="auto"/>
        <w:ind w:firstLine="480" w:firstLineChars="200"/>
        <w:rPr>
          <w:color w:val="000000"/>
          <w:highlight w:val="none"/>
        </w:rPr>
      </w:pPr>
      <w:r>
        <w:rPr>
          <w:rFonts w:hint="eastAsia"/>
          <w:color w:val="000000"/>
          <w:highlight w:val="none"/>
        </w:rPr>
        <w:t>3</w:t>
      </w:r>
      <w:r>
        <w:rPr>
          <w:color w:val="000000"/>
          <w:highlight w:val="none"/>
        </w:rPr>
        <w:t>1</w:t>
      </w:r>
      <w:r>
        <w:rPr>
          <w:rFonts w:hint="eastAsia"/>
          <w:color w:val="000000"/>
          <w:highlight w:val="none"/>
        </w:rPr>
        <w:t>.2 在合同履行过程中，如发生合同纠纷，合同双方应按照《民法典》的有关规定进行处理。</w:t>
      </w:r>
    </w:p>
    <w:p>
      <w:pPr>
        <w:pStyle w:val="5"/>
        <w:spacing w:line="360" w:lineRule="auto"/>
        <w:rPr>
          <w:szCs w:val="24"/>
          <w:highlight w:val="none"/>
        </w:rPr>
      </w:pPr>
      <w:bookmarkStart w:id="141" w:name="_Toc96702566"/>
      <w:r>
        <w:rPr>
          <w:rFonts w:hint="eastAsia"/>
          <w:szCs w:val="24"/>
          <w:highlight w:val="none"/>
        </w:rPr>
        <w:t>3</w:t>
      </w:r>
      <w:r>
        <w:rPr>
          <w:szCs w:val="24"/>
          <w:highlight w:val="none"/>
        </w:rPr>
        <w:t>2</w:t>
      </w:r>
      <w:r>
        <w:rPr>
          <w:rFonts w:hint="eastAsia"/>
          <w:szCs w:val="24"/>
          <w:highlight w:val="none"/>
        </w:rPr>
        <w:t>.验收</w:t>
      </w:r>
      <w:bookmarkEnd w:id="141"/>
    </w:p>
    <w:p>
      <w:pPr>
        <w:spacing w:line="360" w:lineRule="auto"/>
        <w:ind w:firstLine="480" w:firstLineChars="200"/>
        <w:rPr>
          <w:color w:val="000000"/>
          <w:highlight w:val="none"/>
        </w:rPr>
      </w:pPr>
      <w:bookmarkStart w:id="142" w:name="_Hlk92811362"/>
      <w:r>
        <w:rPr>
          <w:rFonts w:hint="eastAsia"/>
          <w:color w:val="000000"/>
          <w:highlight w:val="none"/>
        </w:rPr>
        <w:t>3</w:t>
      </w:r>
      <w:r>
        <w:rPr>
          <w:color w:val="000000"/>
          <w:highlight w:val="none"/>
        </w:rPr>
        <w:t>2</w:t>
      </w:r>
      <w:r>
        <w:rPr>
          <w:rFonts w:hint="eastAsia"/>
          <w:color w:val="000000"/>
          <w:highlight w:val="none"/>
        </w:rPr>
        <w:t>.1本项目采购人及其委托的采购代理机构将按相关规定进行验收。</w:t>
      </w:r>
    </w:p>
    <w:bookmarkEnd w:id="142"/>
    <w:p>
      <w:pPr>
        <w:pStyle w:val="5"/>
        <w:spacing w:line="360" w:lineRule="auto"/>
        <w:rPr>
          <w:szCs w:val="24"/>
          <w:highlight w:val="none"/>
        </w:rPr>
      </w:pPr>
      <w:bookmarkStart w:id="143" w:name="_Toc96702567"/>
      <w:r>
        <w:rPr>
          <w:rFonts w:hint="eastAsia"/>
          <w:szCs w:val="24"/>
          <w:highlight w:val="none"/>
        </w:rPr>
        <w:t>3</w:t>
      </w:r>
      <w:r>
        <w:rPr>
          <w:szCs w:val="24"/>
          <w:highlight w:val="none"/>
        </w:rPr>
        <w:t>2</w:t>
      </w:r>
      <w:r>
        <w:rPr>
          <w:rFonts w:hint="eastAsia"/>
          <w:szCs w:val="24"/>
          <w:highlight w:val="none"/>
        </w:rPr>
        <w:t>.资金支付</w:t>
      </w:r>
      <w:bookmarkEnd w:id="143"/>
    </w:p>
    <w:p>
      <w:pPr>
        <w:spacing w:line="360" w:lineRule="auto"/>
        <w:ind w:firstLine="480" w:firstLineChars="200"/>
        <w:rPr>
          <w:highlight w:val="none"/>
        </w:rPr>
      </w:pPr>
      <w:r>
        <w:rPr>
          <w:rFonts w:hint="eastAsia"/>
          <w:highlight w:val="none"/>
        </w:rPr>
        <w:t>采购人将按照采购合同规定，及时向成交供应商支付采购资金 。</w:t>
      </w:r>
    </w:p>
    <w:p>
      <w:pPr>
        <w:pStyle w:val="4"/>
        <w:keepNext w:val="0"/>
        <w:keepLines w:val="0"/>
        <w:spacing w:before="0" w:after="0" w:line="360" w:lineRule="auto"/>
        <w:rPr>
          <w:color w:val="000000"/>
          <w:sz w:val="24"/>
          <w:szCs w:val="24"/>
          <w:highlight w:val="none"/>
        </w:rPr>
      </w:pPr>
      <w:bookmarkStart w:id="144" w:name="_Toc96702568"/>
      <w:r>
        <w:rPr>
          <w:rFonts w:hint="eastAsia"/>
          <w:color w:val="000000"/>
          <w:sz w:val="24"/>
          <w:szCs w:val="24"/>
          <w:highlight w:val="none"/>
        </w:rPr>
        <w:t>八、谈判纪律要求</w:t>
      </w:r>
      <w:bookmarkEnd w:id="144"/>
    </w:p>
    <w:p>
      <w:pPr>
        <w:pStyle w:val="5"/>
        <w:spacing w:line="360" w:lineRule="auto"/>
        <w:rPr>
          <w:szCs w:val="24"/>
          <w:highlight w:val="none"/>
        </w:rPr>
      </w:pPr>
      <w:bookmarkStart w:id="145" w:name="_Toc96702569"/>
      <w:r>
        <w:rPr>
          <w:rFonts w:hint="eastAsia"/>
          <w:szCs w:val="24"/>
          <w:highlight w:val="none"/>
        </w:rPr>
        <w:t>3</w:t>
      </w:r>
      <w:r>
        <w:rPr>
          <w:szCs w:val="24"/>
          <w:highlight w:val="none"/>
        </w:rPr>
        <w:t>3.</w:t>
      </w:r>
      <w:r>
        <w:rPr>
          <w:rFonts w:hint="eastAsia"/>
          <w:szCs w:val="24"/>
          <w:highlight w:val="none"/>
        </w:rPr>
        <w:t>供应商不得具有的情形</w:t>
      </w:r>
      <w:bookmarkEnd w:id="145"/>
    </w:p>
    <w:p>
      <w:pPr>
        <w:tabs>
          <w:tab w:val="left" w:pos="851"/>
        </w:tabs>
        <w:spacing w:line="360" w:lineRule="auto"/>
        <w:ind w:firstLine="480" w:firstLineChars="200"/>
        <w:rPr>
          <w:color w:val="000000"/>
          <w:highlight w:val="none"/>
        </w:rPr>
      </w:pPr>
      <w:r>
        <w:rPr>
          <w:rFonts w:hint="eastAsia"/>
          <w:color w:val="000000"/>
          <w:highlight w:val="none"/>
        </w:rPr>
        <w:t>供应商参加本项目谈判不得有下列情形：</w:t>
      </w:r>
    </w:p>
    <w:p>
      <w:pPr>
        <w:tabs>
          <w:tab w:val="left" w:pos="851"/>
        </w:tabs>
        <w:spacing w:line="360" w:lineRule="auto"/>
        <w:ind w:firstLine="480" w:firstLineChars="200"/>
        <w:rPr>
          <w:color w:val="000000"/>
          <w:highlight w:val="none"/>
        </w:rPr>
      </w:pPr>
      <w:r>
        <w:rPr>
          <w:rFonts w:hint="eastAsia"/>
          <w:color w:val="000000"/>
          <w:highlight w:val="none"/>
        </w:rPr>
        <w:t>（1）提供虚假材料谋取成交；</w:t>
      </w:r>
    </w:p>
    <w:p>
      <w:pPr>
        <w:tabs>
          <w:tab w:val="left" w:pos="851"/>
        </w:tabs>
        <w:spacing w:line="360" w:lineRule="auto"/>
        <w:ind w:firstLine="480" w:firstLineChars="200"/>
        <w:rPr>
          <w:color w:val="000000"/>
          <w:highlight w:val="none"/>
        </w:rPr>
      </w:pPr>
      <w:r>
        <w:rPr>
          <w:rFonts w:hint="eastAsia"/>
          <w:color w:val="000000"/>
          <w:highlight w:val="none"/>
        </w:rPr>
        <w:t>（2）采取不正当手段诋毁、排挤其他供应商；</w:t>
      </w:r>
    </w:p>
    <w:p>
      <w:pPr>
        <w:tabs>
          <w:tab w:val="left" w:pos="851"/>
        </w:tabs>
        <w:spacing w:line="360" w:lineRule="auto"/>
        <w:ind w:firstLine="480" w:firstLineChars="200"/>
        <w:rPr>
          <w:color w:val="000000"/>
          <w:highlight w:val="none"/>
        </w:rPr>
      </w:pPr>
      <w:r>
        <w:rPr>
          <w:rFonts w:hint="eastAsia"/>
          <w:color w:val="000000"/>
          <w:highlight w:val="none"/>
        </w:rPr>
        <w:t>（3）与采购人、采购代理机构、或其他供应商恶意串通；</w:t>
      </w:r>
    </w:p>
    <w:p>
      <w:pPr>
        <w:tabs>
          <w:tab w:val="left" w:pos="851"/>
        </w:tabs>
        <w:spacing w:line="360" w:lineRule="auto"/>
        <w:ind w:firstLine="480" w:firstLineChars="200"/>
        <w:rPr>
          <w:color w:val="000000"/>
          <w:highlight w:val="none"/>
        </w:rPr>
      </w:pPr>
      <w:r>
        <w:rPr>
          <w:rFonts w:hint="eastAsia"/>
          <w:color w:val="000000"/>
          <w:highlight w:val="none"/>
        </w:rPr>
        <w:t>（4）向采购人、采购代理机构、谈判小组成员行贿或者提供其他不正当利益；</w:t>
      </w:r>
    </w:p>
    <w:p>
      <w:pPr>
        <w:tabs>
          <w:tab w:val="left" w:pos="851"/>
        </w:tabs>
        <w:spacing w:line="360" w:lineRule="auto"/>
        <w:ind w:firstLine="480" w:firstLineChars="200"/>
        <w:rPr>
          <w:color w:val="000000"/>
          <w:highlight w:val="none"/>
        </w:rPr>
      </w:pPr>
      <w:r>
        <w:rPr>
          <w:rFonts w:hint="eastAsia"/>
          <w:color w:val="000000"/>
          <w:highlight w:val="none"/>
        </w:rPr>
        <w:t>（5）在谈判过程中与采购人、采购代理机构进行协商；</w:t>
      </w:r>
    </w:p>
    <w:p>
      <w:pPr>
        <w:tabs>
          <w:tab w:val="left" w:pos="851"/>
        </w:tabs>
        <w:spacing w:line="360" w:lineRule="auto"/>
        <w:ind w:firstLine="480" w:firstLineChars="200"/>
        <w:rPr>
          <w:color w:val="000000"/>
          <w:highlight w:val="none"/>
        </w:rPr>
      </w:pPr>
      <w:r>
        <w:rPr>
          <w:rFonts w:hint="eastAsia"/>
          <w:color w:val="000000"/>
          <w:highlight w:val="none"/>
        </w:rPr>
        <w:t>（6）成交后无正当理由拒不与采购人签订采购合同；</w:t>
      </w:r>
    </w:p>
    <w:p>
      <w:pPr>
        <w:tabs>
          <w:tab w:val="left" w:pos="851"/>
        </w:tabs>
        <w:spacing w:line="360" w:lineRule="auto"/>
        <w:ind w:firstLine="480" w:firstLineChars="200"/>
        <w:rPr>
          <w:color w:val="000000"/>
          <w:highlight w:val="none"/>
        </w:rPr>
      </w:pPr>
      <w:r>
        <w:rPr>
          <w:rFonts w:hint="eastAsia"/>
          <w:color w:val="000000"/>
          <w:highlight w:val="none"/>
        </w:rPr>
        <w:t>（7）未按照谈判文件确定的事项签订采购合同；</w:t>
      </w:r>
    </w:p>
    <w:p>
      <w:pPr>
        <w:tabs>
          <w:tab w:val="left" w:pos="851"/>
        </w:tabs>
        <w:spacing w:line="360" w:lineRule="auto"/>
        <w:ind w:firstLine="480" w:firstLineChars="200"/>
        <w:rPr>
          <w:color w:val="000000"/>
          <w:highlight w:val="none"/>
        </w:rPr>
      </w:pPr>
      <w:r>
        <w:rPr>
          <w:rFonts w:hint="eastAsia"/>
          <w:color w:val="000000"/>
          <w:highlight w:val="none"/>
        </w:rPr>
        <w:t>（8）将采购合同转包或者违规分包；</w:t>
      </w:r>
    </w:p>
    <w:p>
      <w:pPr>
        <w:tabs>
          <w:tab w:val="left" w:pos="851"/>
        </w:tabs>
        <w:spacing w:line="360" w:lineRule="auto"/>
        <w:ind w:firstLine="480" w:firstLineChars="200"/>
        <w:rPr>
          <w:color w:val="000000"/>
          <w:highlight w:val="none"/>
        </w:rPr>
      </w:pPr>
      <w:r>
        <w:rPr>
          <w:rFonts w:hint="eastAsia"/>
          <w:color w:val="000000"/>
          <w:highlight w:val="none"/>
        </w:rPr>
        <w:t>（9）提供假冒伪劣产品；</w:t>
      </w:r>
    </w:p>
    <w:p>
      <w:pPr>
        <w:tabs>
          <w:tab w:val="left" w:pos="851"/>
        </w:tabs>
        <w:spacing w:line="360" w:lineRule="auto"/>
        <w:ind w:firstLine="480" w:firstLineChars="200"/>
        <w:rPr>
          <w:color w:val="000000"/>
          <w:highlight w:val="none"/>
        </w:rPr>
      </w:pPr>
      <w:r>
        <w:rPr>
          <w:rFonts w:hint="eastAsia"/>
          <w:color w:val="000000"/>
          <w:highlight w:val="none"/>
        </w:rPr>
        <w:t>（10）擅自变更、中止或者终止采购合同；</w:t>
      </w:r>
    </w:p>
    <w:p>
      <w:pPr>
        <w:tabs>
          <w:tab w:val="left" w:pos="851"/>
        </w:tabs>
        <w:spacing w:line="360" w:lineRule="auto"/>
        <w:ind w:firstLine="480" w:firstLineChars="200"/>
        <w:rPr>
          <w:color w:val="000000"/>
          <w:highlight w:val="none"/>
        </w:rPr>
      </w:pPr>
      <w:r>
        <w:rPr>
          <w:rFonts w:hint="eastAsia"/>
          <w:color w:val="000000"/>
          <w:highlight w:val="none"/>
        </w:rPr>
        <w:t>（11）拒绝有关部门的监督检查或者向监督检查部门提供虚假情况；</w:t>
      </w:r>
    </w:p>
    <w:p>
      <w:pPr>
        <w:tabs>
          <w:tab w:val="left" w:pos="851"/>
        </w:tabs>
        <w:spacing w:line="360" w:lineRule="auto"/>
        <w:ind w:firstLine="480" w:firstLineChars="200"/>
        <w:rPr>
          <w:color w:val="000000"/>
          <w:highlight w:val="none"/>
        </w:rPr>
      </w:pPr>
      <w:r>
        <w:rPr>
          <w:rFonts w:hint="eastAsia"/>
          <w:color w:val="000000"/>
          <w:highlight w:val="none"/>
        </w:rPr>
        <w:t>（12）法律法规规定的其他情形。</w:t>
      </w:r>
    </w:p>
    <w:p>
      <w:pPr>
        <w:tabs>
          <w:tab w:val="left" w:pos="851"/>
        </w:tabs>
        <w:spacing w:line="360" w:lineRule="auto"/>
        <w:ind w:firstLine="480" w:firstLineChars="200"/>
        <w:rPr>
          <w:color w:val="000000"/>
          <w:highlight w:val="none"/>
        </w:rPr>
      </w:pPr>
      <w:r>
        <w:rPr>
          <w:rFonts w:hint="eastAsia"/>
          <w:color w:val="000000"/>
          <w:highlight w:val="none"/>
        </w:rPr>
        <w:t>供应商有上述情形的，按照规定追究法律责任，具备（1）-（10）条情形之一的，同时将取消被确认为成交供应商的资格或者认定成交无效。</w:t>
      </w:r>
    </w:p>
    <w:p>
      <w:pPr>
        <w:pStyle w:val="4"/>
        <w:spacing w:line="360" w:lineRule="auto"/>
        <w:rPr>
          <w:sz w:val="24"/>
          <w:szCs w:val="24"/>
          <w:highlight w:val="none"/>
        </w:rPr>
      </w:pPr>
      <w:bookmarkStart w:id="146" w:name="_Toc96702570"/>
      <w:r>
        <w:rPr>
          <w:rFonts w:hint="eastAsia"/>
          <w:sz w:val="24"/>
          <w:szCs w:val="24"/>
          <w:highlight w:val="none"/>
        </w:rPr>
        <w:t>九、其  他</w:t>
      </w:r>
      <w:bookmarkEnd w:id="146"/>
    </w:p>
    <w:p>
      <w:pPr>
        <w:tabs>
          <w:tab w:val="left" w:pos="851"/>
        </w:tabs>
        <w:spacing w:line="360" w:lineRule="auto"/>
        <w:rPr>
          <w:color w:val="000000"/>
          <w:highlight w:val="none"/>
        </w:rPr>
      </w:pPr>
      <w:r>
        <w:rPr>
          <w:rFonts w:hint="eastAsia"/>
          <w:color w:val="000000"/>
          <w:highlight w:val="none"/>
        </w:rPr>
        <w:t xml:space="preserve">  3</w:t>
      </w:r>
      <w:r>
        <w:rPr>
          <w:color w:val="000000"/>
          <w:highlight w:val="none"/>
        </w:rPr>
        <w:t>4</w:t>
      </w:r>
      <w:r>
        <w:rPr>
          <w:rFonts w:hint="eastAsia"/>
          <w:color w:val="000000"/>
          <w:highlight w:val="none"/>
        </w:rPr>
        <w:t>.本章规定的内容条款，在本项目递交响应文件截止时间届满后，因相关法律制度规定的变化导致不符合相关法律制度规定的，直接按照变化后的相关法律制度规定执行，本谈判文件不再做调整。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240" w:firstLineChars="100"/>
        <w:rPr>
          <w:color w:val="000000"/>
          <w:highlight w:val="none"/>
        </w:rPr>
      </w:pPr>
      <w:r>
        <w:rPr>
          <w:color w:val="000000"/>
          <w:highlight w:val="none"/>
        </w:rPr>
        <w:t>35</w:t>
      </w:r>
      <w:r>
        <w:rPr>
          <w:rFonts w:hint="eastAsia"/>
          <w:color w:val="000000"/>
          <w:highlight w:val="none"/>
        </w:rPr>
        <w:t>.</w:t>
      </w:r>
      <w:r>
        <w:rPr>
          <w:rFonts w:hint="eastAsia"/>
          <w:b/>
          <w:color w:val="000000"/>
          <w:highlight w:val="none"/>
        </w:rPr>
        <w:t xml:space="preserve"> </w:t>
      </w:r>
      <w:r>
        <w:rPr>
          <w:color w:val="000000"/>
          <w:highlight w:val="none"/>
        </w:rPr>
        <w:t>国家</w:t>
      </w:r>
      <w:r>
        <w:rPr>
          <w:rFonts w:hint="eastAsia"/>
          <w:color w:val="000000"/>
          <w:highlight w:val="none"/>
        </w:rPr>
        <w:t>或行业主管部门</w:t>
      </w:r>
      <w:r>
        <w:rPr>
          <w:color w:val="000000"/>
          <w:highlight w:val="none"/>
        </w:rPr>
        <w:t>对</w:t>
      </w:r>
      <w:r>
        <w:rPr>
          <w:rFonts w:hint="eastAsia"/>
          <w:color w:val="000000"/>
          <w:highlight w:val="none"/>
        </w:rPr>
        <w:t>供应商和采购产品的</w:t>
      </w:r>
      <w:r>
        <w:rPr>
          <w:color w:val="000000"/>
          <w:highlight w:val="none"/>
        </w:rPr>
        <w:t>技术</w:t>
      </w:r>
      <w:r>
        <w:rPr>
          <w:rFonts w:hint="eastAsia"/>
          <w:color w:val="000000"/>
          <w:highlight w:val="none"/>
        </w:rPr>
        <w:t>标准、</w:t>
      </w:r>
      <w:r>
        <w:rPr>
          <w:color w:val="000000"/>
          <w:highlight w:val="none"/>
        </w:rPr>
        <w:t>质量</w:t>
      </w:r>
      <w:r>
        <w:rPr>
          <w:rFonts w:hint="eastAsia"/>
          <w:color w:val="000000"/>
          <w:highlight w:val="none"/>
        </w:rPr>
        <w:t>标准和资格资质条件</w:t>
      </w:r>
      <w:r>
        <w:rPr>
          <w:color w:val="000000"/>
          <w:highlight w:val="none"/>
        </w:rPr>
        <w:t>等有</w:t>
      </w:r>
      <w:r>
        <w:rPr>
          <w:rFonts w:hint="eastAsia"/>
          <w:color w:val="000000"/>
          <w:highlight w:val="none"/>
        </w:rPr>
        <w:t>强制性规定</w:t>
      </w:r>
      <w:r>
        <w:rPr>
          <w:color w:val="000000"/>
          <w:highlight w:val="none"/>
        </w:rPr>
        <w:t>的</w:t>
      </w:r>
      <w:r>
        <w:rPr>
          <w:rFonts w:hint="eastAsia"/>
          <w:color w:val="000000"/>
          <w:highlight w:val="none"/>
        </w:rPr>
        <w:t>，必须符合其要求。</w:t>
      </w:r>
    </w:p>
    <w:p>
      <w:pPr>
        <w:spacing w:line="360" w:lineRule="auto"/>
        <w:ind w:firstLine="240" w:firstLineChars="100"/>
        <w:rPr>
          <w:highlight w:val="none"/>
        </w:rPr>
      </w:pPr>
      <w:r>
        <w:rPr>
          <w:rFonts w:hint="eastAsia"/>
          <w:highlight w:val="none"/>
        </w:rPr>
        <w:t>3</w:t>
      </w:r>
      <w:r>
        <w:rPr>
          <w:highlight w:val="none"/>
        </w:rPr>
        <w:t>6.</w:t>
      </w:r>
      <w:r>
        <w:rPr>
          <w:rFonts w:hint="eastAsia"/>
          <w:highlight w:val="none"/>
        </w:rPr>
        <w:t xml:space="preserve"> 本采购文件由采购单位负责解释。</w:t>
      </w:r>
    </w:p>
    <w:p>
      <w:pPr>
        <w:spacing w:line="360" w:lineRule="auto"/>
        <w:rPr>
          <w:highlight w:val="none"/>
        </w:rPr>
      </w:pPr>
    </w:p>
    <w:p>
      <w:pPr>
        <w:spacing w:line="360" w:lineRule="auto"/>
        <w:rPr>
          <w:rFonts w:cs="Times New Roman"/>
          <w:highlight w:val="none"/>
        </w:rPr>
      </w:pPr>
    </w:p>
    <w:bookmarkEnd w:id="47"/>
    <w:bookmarkEnd w:id="48"/>
    <w:bookmarkEnd w:id="49"/>
    <w:bookmarkEnd w:id="50"/>
    <w:bookmarkEnd w:id="51"/>
    <w:p>
      <w:pPr>
        <w:pStyle w:val="40"/>
        <w:numPr>
          <w:ilvl w:val="0"/>
          <w:numId w:val="1"/>
        </w:numPr>
        <w:spacing w:line="360" w:lineRule="auto"/>
        <w:rPr>
          <w:rFonts w:ascii="宋体" w:hAnsi="宋体" w:cs="仿宋"/>
          <w:highlight w:val="none"/>
        </w:rPr>
      </w:pPr>
      <w:bookmarkStart w:id="147" w:name="_Toc14512"/>
      <w:bookmarkStart w:id="148" w:name="_Toc98423927"/>
      <w:bookmarkStart w:id="149" w:name="_Toc69478557"/>
      <w:bookmarkStart w:id="150" w:name="_Toc23009"/>
      <w:bookmarkStart w:id="151" w:name="_Toc31764"/>
      <w:bookmarkStart w:id="152" w:name="_Toc217446057"/>
      <w:bookmarkStart w:id="153" w:name="_Toc183582232"/>
      <w:bookmarkStart w:id="154" w:name="_Toc183682369"/>
      <w:r>
        <w:rPr>
          <w:rFonts w:hint="eastAsia" w:ascii="宋体" w:hAnsi="宋体" w:cs="仿宋"/>
          <w:highlight w:val="none"/>
        </w:rPr>
        <w:t>响应文件格式</w:t>
      </w:r>
      <w:bookmarkEnd w:id="147"/>
      <w:bookmarkEnd w:id="148"/>
      <w:bookmarkEnd w:id="149"/>
      <w:bookmarkEnd w:id="150"/>
      <w:bookmarkEnd w:id="151"/>
    </w:p>
    <w:p>
      <w:pPr>
        <w:spacing w:line="360" w:lineRule="auto"/>
        <w:rPr>
          <w:b/>
          <w:bCs/>
          <w:sz w:val="32"/>
          <w:szCs w:val="32"/>
          <w:highlight w:val="none"/>
        </w:rPr>
      </w:pPr>
    </w:p>
    <w:p>
      <w:pPr>
        <w:spacing w:line="360" w:lineRule="auto"/>
        <w:rPr>
          <w:highlight w:val="none"/>
        </w:rPr>
      </w:pPr>
      <w:r>
        <w:rPr>
          <w:rFonts w:hint="eastAsia" w:cs="仿宋"/>
          <w:highlight w:val="none"/>
        </w:rPr>
        <w:t>一、本章所制响应文件格式，除格式中明确将该格式作为实质性要求的，不具有强制性。</w:t>
      </w:r>
    </w:p>
    <w:p>
      <w:pPr>
        <w:spacing w:line="360" w:lineRule="auto"/>
        <w:rPr>
          <w:rFonts w:cs="仿宋"/>
          <w:highlight w:val="none"/>
        </w:rPr>
      </w:pPr>
      <w:r>
        <w:rPr>
          <w:rFonts w:hint="eastAsia" w:cs="仿宋"/>
          <w:highlight w:val="none"/>
        </w:rPr>
        <w:t>二、本章所制响应文件格式有关表格中的备注栏，由供应商根据自身响应情况作解释性说明，不作为必填项。</w:t>
      </w:r>
    </w:p>
    <w:p>
      <w:pPr>
        <w:spacing w:line="360" w:lineRule="auto"/>
        <w:rPr>
          <w:rFonts w:cs="仿宋"/>
          <w:highlight w:val="none"/>
        </w:rPr>
      </w:pPr>
      <w:r>
        <w:rPr>
          <w:rFonts w:cs="仿宋"/>
          <w:highlight w:val="none"/>
        </w:rPr>
        <w:br w:type="page"/>
      </w:r>
    </w:p>
    <w:p>
      <w:pPr>
        <w:spacing w:line="360" w:lineRule="auto"/>
        <w:rPr>
          <w:b/>
          <w:bCs/>
          <w:highlight w:val="none"/>
        </w:rPr>
      </w:pPr>
      <w:bookmarkStart w:id="155" w:name="_Hlk96722942"/>
      <w:bookmarkStart w:id="156" w:name="_Toc96702574"/>
      <w:r>
        <w:rPr>
          <w:b/>
          <w:bCs/>
          <w:highlight w:val="none"/>
        </w:rPr>
        <w:t>响应文件封面</w:t>
      </w:r>
      <w:r>
        <w:rPr>
          <w:rFonts w:hint="eastAsia"/>
          <w:b/>
          <w:bCs/>
          <w:highlight w:val="none"/>
        </w:rPr>
        <w:t>格式</w:t>
      </w:r>
      <w:bookmarkEnd w:id="155"/>
    </w:p>
    <w:p>
      <w:pPr>
        <w:spacing w:line="360" w:lineRule="auto"/>
        <w:rPr>
          <w:b/>
          <w:bCs/>
          <w:highlight w:val="none"/>
        </w:rPr>
      </w:pPr>
    </w:p>
    <w:p>
      <w:pPr>
        <w:spacing w:line="360" w:lineRule="auto"/>
        <w:rPr>
          <w:b/>
          <w:bCs/>
          <w:highlight w:val="none"/>
        </w:rPr>
      </w:pPr>
      <w:bookmarkStart w:id="157" w:name="_Hlk96725946"/>
    </w:p>
    <w:p>
      <w:pPr>
        <w:spacing w:line="360" w:lineRule="auto"/>
        <w:jc w:val="right"/>
        <w:rPr>
          <w:b/>
          <w:sz w:val="36"/>
          <w:szCs w:val="36"/>
          <w:highlight w:val="none"/>
          <w:lang w:bidi="ar"/>
        </w:rPr>
      </w:pPr>
      <w:r>
        <w:rPr>
          <w:rFonts w:hint="eastAsia"/>
          <w:b/>
          <w:sz w:val="36"/>
          <w:szCs w:val="36"/>
          <w:highlight w:val="none"/>
          <w:lang w:bidi="ar"/>
        </w:rPr>
        <w:t>（正本/副本）</w:t>
      </w:r>
    </w:p>
    <w:p>
      <w:pPr>
        <w:spacing w:line="360" w:lineRule="auto"/>
        <w:rPr>
          <w:b/>
          <w:bCs/>
          <w:highlight w:val="none"/>
        </w:rPr>
      </w:pPr>
    </w:p>
    <w:p>
      <w:pPr>
        <w:spacing w:line="360" w:lineRule="auto"/>
        <w:jc w:val="center"/>
        <w:rPr>
          <w:b/>
          <w:color w:val="000000"/>
          <w:sz w:val="36"/>
          <w:szCs w:val="36"/>
          <w:highlight w:val="none"/>
          <w:u w:val="single"/>
        </w:rPr>
      </w:pPr>
      <w:r>
        <w:rPr>
          <w:highlight w:val="none"/>
          <w:lang w:val="zh-CN"/>
        </w:rPr>
        <w:t xml:space="preserve">    </w:t>
      </w:r>
      <w:r>
        <w:rPr>
          <w:rFonts w:hint="eastAsia"/>
          <w:b/>
          <w:color w:val="000000"/>
          <w:sz w:val="30"/>
          <w:szCs w:val="30"/>
          <w:highlight w:val="none"/>
        </w:rPr>
        <w:t xml:space="preserve">                                  项目编号：</w:t>
      </w:r>
      <w:r>
        <w:rPr>
          <w:rFonts w:hint="eastAsia"/>
          <w:b/>
          <w:color w:val="000000"/>
          <w:sz w:val="30"/>
          <w:szCs w:val="30"/>
          <w:highlight w:val="none"/>
          <w:u w:val="single"/>
        </w:rPr>
        <w:t xml:space="preserve">           </w:t>
      </w:r>
    </w:p>
    <w:p>
      <w:pPr>
        <w:spacing w:line="360" w:lineRule="auto"/>
        <w:jc w:val="center"/>
        <w:rPr>
          <w:b/>
          <w:color w:val="000000"/>
          <w:sz w:val="48"/>
          <w:szCs w:val="48"/>
          <w:highlight w:val="none"/>
        </w:rPr>
      </w:pPr>
      <w:r>
        <w:rPr>
          <w:rFonts w:hint="eastAsia"/>
          <w:b/>
          <w:color w:val="000000"/>
          <w:sz w:val="48"/>
          <w:szCs w:val="48"/>
          <w:highlight w:val="none"/>
          <w:u w:val="single"/>
        </w:rPr>
        <w:t>XXXXX（项目名称）</w:t>
      </w:r>
    </w:p>
    <w:p>
      <w:pPr>
        <w:spacing w:line="360" w:lineRule="auto"/>
        <w:rPr>
          <w:b/>
          <w:color w:val="000000"/>
          <w:sz w:val="52"/>
          <w:szCs w:val="52"/>
          <w:highlight w:val="none"/>
        </w:rPr>
      </w:pPr>
    </w:p>
    <w:p>
      <w:pPr>
        <w:spacing w:line="360" w:lineRule="auto"/>
        <w:rPr>
          <w:b/>
          <w:color w:val="000000"/>
          <w:sz w:val="52"/>
          <w:szCs w:val="52"/>
          <w:highlight w:val="none"/>
        </w:rPr>
      </w:pPr>
    </w:p>
    <w:p>
      <w:pPr>
        <w:spacing w:line="360" w:lineRule="auto"/>
        <w:rPr>
          <w:color w:val="000000"/>
          <w:highlight w:val="none"/>
        </w:rPr>
      </w:pPr>
    </w:p>
    <w:p>
      <w:pPr>
        <w:spacing w:line="360" w:lineRule="auto"/>
        <w:rPr>
          <w:color w:val="000000"/>
          <w:highlight w:val="none"/>
        </w:rPr>
      </w:pPr>
    </w:p>
    <w:p>
      <w:pPr>
        <w:snapToGrid w:val="0"/>
        <w:spacing w:line="360" w:lineRule="auto"/>
        <w:jc w:val="center"/>
        <w:rPr>
          <w:color w:val="000000"/>
          <w:sz w:val="48"/>
          <w:szCs w:val="48"/>
          <w:highlight w:val="none"/>
        </w:rPr>
      </w:pPr>
      <w:r>
        <w:rPr>
          <w:rFonts w:hint="eastAsia"/>
          <w:color w:val="000000"/>
          <w:sz w:val="48"/>
          <w:szCs w:val="48"/>
          <w:highlight w:val="none"/>
        </w:rPr>
        <w:t>响</w:t>
      </w:r>
    </w:p>
    <w:p>
      <w:pPr>
        <w:snapToGrid w:val="0"/>
        <w:spacing w:line="360" w:lineRule="auto"/>
        <w:jc w:val="center"/>
        <w:rPr>
          <w:color w:val="000000"/>
          <w:sz w:val="48"/>
          <w:szCs w:val="48"/>
          <w:highlight w:val="none"/>
        </w:rPr>
      </w:pPr>
      <w:r>
        <w:rPr>
          <w:rFonts w:hint="eastAsia"/>
          <w:color w:val="000000"/>
          <w:sz w:val="48"/>
          <w:szCs w:val="48"/>
          <w:highlight w:val="none"/>
        </w:rPr>
        <w:t>应</w:t>
      </w:r>
    </w:p>
    <w:p>
      <w:pPr>
        <w:snapToGrid w:val="0"/>
        <w:spacing w:line="360" w:lineRule="auto"/>
        <w:jc w:val="center"/>
        <w:rPr>
          <w:color w:val="000000"/>
          <w:sz w:val="48"/>
          <w:szCs w:val="48"/>
          <w:highlight w:val="none"/>
        </w:rPr>
      </w:pPr>
      <w:r>
        <w:rPr>
          <w:rFonts w:hint="eastAsia"/>
          <w:color w:val="000000"/>
          <w:sz w:val="48"/>
          <w:szCs w:val="48"/>
          <w:highlight w:val="none"/>
        </w:rPr>
        <w:t>文</w:t>
      </w:r>
    </w:p>
    <w:p>
      <w:pPr>
        <w:snapToGrid w:val="0"/>
        <w:spacing w:line="360" w:lineRule="auto"/>
        <w:jc w:val="center"/>
        <w:rPr>
          <w:color w:val="000000"/>
          <w:sz w:val="32"/>
          <w:szCs w:val="32"/>
          <w:highlight w:val="none"/>
        </w:rPr>
      </w:pPr>
      <w:r>
        <w:rPr>
          <w:rFonts w:hint="eastAsia"/>
          <w:color w:val="000000"/>
          <w:sz w:val="48"/>
          <w:szCs w:val="48"/>
          <w:highlight w:val="none"/>
        </w:rPr>
        <w:t>件</w:t>
      </w: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sz w:val="30"/>
          <w:szCs w:val="30"/>
          <w:highlight w:val="none"/>
        </w:rPr>
      </w:pPr>
      <w:r>
        <w:rPr>
          <w:rFonts w:hint="eastAsia"/>
          <w:color w:val="000000"/>
          <w:sz w:val="30"/>
          <w:szCs w:val="30"/>
          <w:highlight w:val="none"/>
        </w:rPr>
        <w:t>供应商名称：</w:t>
      </w:r>
    </w:p>
    <w:p>
      <w:pPr>
        <w:spacing w:line="360" w:lineRule="auto"/>
        <w:rPr>
          <w:sz w:val="30"/>
          <w:szCs w:val="30"/>
          <w:highlight w:val="none"/>
          <w:lang w:val="zh-CN"/>
        </w:rPr>
      </w:pPr>
      <w:r>
        <w:rPr>
          <w:rFonts w:hint="eastAsia"/>
          <w:color w:val="000000"/>
          <w:sz w:val="30"/>
          <w:szCs w:val="30"/>
          <w:highlight w:val="none"/>
        </w:rPr>
        <w:t xml:space="preserve">日 </w:t>
      </w:r>
      <w:r>
        <w:rPr>
          <w:color w:val="000000"/>
          <w:sz w:val="30"/>
          <w:szCs w:val="30"/>
          <w:highlight w:val="none"/>
        </w:rPr>
        <w:t xml:space="preserve"> </w:t>
      </w:r>
      <w:r>
        <w:rPr>
          <w:rFonts w:hint="eastAsia"/>
          <w:color w:val="000000"/>
          <w:sz w:val="30"/>
          <w:szCs w:val="30"/>
          <w:highlight w:val="none"/>
        </w:rPr>
        <w:t>期：</w:t>
      </w:r>
    </w:p>
    <w:p>
      <w:pPr>
        <w:pStyle w:val="4"/>
        <w:spacing w:line="360" w:lineRule="auto"/>
        <w:rPr>
          <w:highlight w:val="none"/>
        </w:rPr>
      </w:pPr>
      <w:r>
        <w:rPr>
          <w:highlight w:val="none"/>
        </w:rPr>
        <w:br w:type="page"/>
      </w:r>
      <w:bookmarkEnd w:id="157"/>
      <w:r>
        <w:rPr>
          <w:rFonts w:hint="eastAsia"/>
          <w:highlight w:val="none"/>
        </w:rPr>
        <w:t>一、法定代表人授权书</w:t>
      </w:r>
      <w:bookmarkEnd w:id="156"/>
    </w:p>
    <w:p>
      <w:pPr>
        <w:spacing w:line="360" w:lineRule="auto"/>
        <w:jc w:val="center"/>
        <w:rPr>
          <w:b/>
          <w:color w:val="000000"/>
          <w:sz w:val="44"/>
          <w:highlight w:val="none"/>
        </w:rPr>
      </w:pPr>
    </w:p>
    <w:p>
      <w:pPr>
        <w:spacing w:line="360" w:lineRule="auto"/>
        <w:rPr>
          <w:color w:val="000000"/>
          <w:highlight w:val="none"/>
        </w:rPr>
      </w:pPr>
      <w:r>
        <w:rPr>
          <w:rFonts w:hint="eastAsia"/>
          <w:color w:val="000000"/>
          <w:highlight w:val="none"/>
        </w:rPr>
        <w:t>XXX（采购人）：</w:t>
      </w:r>
    </w:p>
    <w:p>
      <w:pPr>
        <w:spacing w:line="360" w:lineRule="auto"/>
        <w:ind w:firstLine="480" w:firstLineChars="200"/>
        <w:rPr>
          <w:color w:val="000000"/>
          <w:highlight w:val="none"/>
        </w:rPr>
      </w:pPr>
      <w:r>
        <w:rPr>
          <w:rFonts w:hint="eastAsia"/>
          <w:color w:val="000000"/>
          <w:highlight w:val="none"/>
        </w:rPr>
        <w:t>本授权声明：XXX（单位名称）,XXX（法定代表人姓名、职务）授权XXX</w:t>
      </w:r>
      <w:r>
        <w:rPr>
          <w:rFonts w:hint="eastAsia"/>
          <w:color w:val="000000"/>
          <w:highlight w:val="none"/>
          <w:u w:val="single"/>
        </w:rPr>
        <w:t xml:space="preserve">                   </w:t>
      </w:r>
      <w:r>
        <w:rPr>
          <w:rFonts w:hint="eastAsia"/>
          <w:color w:val="000000"/>
          <w:highlight w:val="none"/>
        </w:rPr>
        <w:t>（被授权人姓名、职务）为我方参加XXX项目（采购编号：XXX）谈判采购活动的合法代表，以我方名义全权处理该项目有关谈判、报价、签订合同以及执行合同等一切事宜。</w:t>
      </w:r>
    </w:p>
    <w:p>
      <w:pPr>
        <w:spacing w:line="360" w:lineRule="auto"/>
        <w:ind w:firstLine="480" w:firstLineChars="200"/>
        <w:rPr>
          <w:color w:val="000000"/>
          <w:highlight w:val="none"/>
        </w:rPr>
      </w:pPr>
      <w:r>
        <w:rPr>
          <w:rFonts w:hint="eastAsia"/>
          <w:color w:val="000000"/>
          <w:highlight w:val="none"/>
        </w:rPr>
        <w:t>特此声明。</w:t>
      </w:r>
    </w:p>
    <w:p>
      <w:pPr>
        <w:spacing w:line="360" w:lineRule="auto"/>
        <w:ind w:firstLine="480" w:firstLineChars="200"/>
        <w:rPr>
          <w:color w:val="000000"/>
          <w:highlight w:val="none"/>
        </w:rPr>
      </w:pPr>
    </w:p>
    <w:p>
      <w:pPr>
        <w:spacing w:line="360" w:lineRule="auto"/>
        <w:ind w:firstLine="480" w:firstLineChars="200"/>
        <w:rPr>
          <w:color w:val="000000"/>
          <w:highlight w:val="none"/>
        </w:rPr>
      </w:pPr>
    </w:p>
    <w:p>
      <w:pPr>
        <w:spacing w:line="360" w:lineRule="auto"/>
        <w:ind w:firstLine="480" w:firstLineChars="200"/>
        <w:rPr>
          <w:color w:val="000000"/>
          <w:highlight w:val="none"/>
        </w:rPr>
      </w:pPr>
      <w:r>
        <w:rPr>
          <w:rFonts w:hint="eastAsia"/>
          <w:color w:val="000000"/>
          <w:highlight w:val="none"/>
        </w:rPr>
        <w:t>供应商名称：XXX（盖单位公章）</w:t>
      </w:r>
    </w:p>
    <w:p>
      <w:pPr>
        <w:spacing w:line="360" w:lineRule="auto"/>
        <w:ind w:firstLine="480" w:firstLineChars="200"/>
        <w:rPr>
          <w:color w:val="000000"/>
          <w:highlight w:val="none"/>
        </w:rPr>
      </w:pPr>
      <w:r>
        <w:rPr>
          <w:rFonts w:hint="eastAsia"/>
          <w:color w:val="000000"/>
          <w:highlight w:val="none"/>
        </w:rPr>
        <w:t>法定代表人（签字或盖章）：XXX</w:t>
      </w:r>
    </w:p>
    <w:p>
      <w:pPr>
        <w:spacing w:line="360" w:lineRule="auto"/>
        <w:ind w:firstLine="480" w:firstLineChars="200"/>
        <w:rPr>
          <w:color w:val="000000"/>
          <w:highlight w:val="none"/>
        </w:rPr>
      </w:pPr>
      <w:r>
        <w:rPr>
          <w:rFonts w:hint="eastAsia"/>
          <w:color w:val="000000"/>
          <w:highlight w:val="none"/>
        </w:rPr>
        <w:t>职    务：XXX</w:t>
      </w:r>
    </w:p>
    <w:p>
      <w:pPr>
        <w:spacing w:line="360" w:lineRule="auto"/>
        <w:ind w:firstLine="480" w:firstLineChars="200"/>
        <w:rPr>
          <w:color w:val="000000"/>
          <w:highlight w:val="none"/>
        </w:rPr>
      </w:pPr>
      <w:r>
        <w:rPr>
          <w:rFonts w:hint="eastAsia"/>
          <w:color w:val="000000"/>
          <w:highlight w:val="none"/>
        </w:rPr>
        <w:t>授权代表签字：XXX</w:t>
      </w:r>
    </w:p>
    <w:p>
      <w:pPr>
        <w:spacing w:line="360" w:lineRule="auto"/>
        <w:ind w:firstLine="480" w:firstLineChars="200"/>
        <w:rPr>
          <w:color w:val="000000"/>
          <w:highlight w:val="none"/>
        </w:rPr>
      </w:pPr>
      <w:r>
        <w:rPr>
          <w:rFonts w:hint="eastAsia"/>
          <w:color w:val="000000"/>
          <w:highlight w:val="none"/>
        </w:rPr>
        <w:t>职    务：XXX</w:t>
      </w:r>
    </w:p>
    <w:p>
      <w:pPr>
        <w:spacing w:line="360" w:lineRule="auto"/>
        <w:ind w:firstLine="480" w:firstLineChars="200"/>
        <w:rPr>
          <w:color w:val="000000"/>
          <w:highlight w:val="none"/>
        </w:rPr>
      </w:pPr>
      <w:r>
        <w:rPr>
          <w:rFonts w:hint="eastAsia"/>
          <w:color w:val="000000"/>
          <w:highlight w:val="none"/>
        </w:rPr>
        <w:t>日    期：XXX年XXX月XXX日</w:t>
      </w:r>
    </w:p>
    <w:p>
      <w:pPr>
        <w:spacing w:line="360" w:lineRule="auto"/>
        <w:rPr>
          <w:color w:val="000000"/>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spacing w:line="360" w:lineRule="auto"/>
        <w:rPr>
          <w:color w:val="000000"/>
          <w:sz w:val="32"/>
          <w:highlight w:val="none"/>
        </w:rPr>
      </w:pPr>
    </w:p>
    <w:p>
      <w:pPr>
        <w:pStyle w:val="4"/>
        <w:spacing w:line="360" w:lineRule="auto"/>
        <w:rPr>
          <w:highlight w:val="none"/>
        </w:rPr>
      </w:pPr>
      <w:bookmarkStart w:id="158" w:name="_Toc96702575"/>
      <w:r>
        <w:rPr>
          <w:rFonts w:hint="eastAsia"/>
          <w:highlight w:val="none"/>
        </w:rPr>
        <w:t>二、供应商基本情况表</w:t>
      </w:r>
      <w:bookmarkEnd w:id="158"/>
    </w:p>
    <w:p>
      <w:pPr>
        <w:spacing w:line="360" w:lineRule="auto"/>
        <w:jc w:val="center"/>
        <w:rPr>
          <w:rFonts w:cs="Arial"/>
          <w:b/>
          <w:bCs/>
          <w:color w:val="000000"/>
          <w:sz w:val="32"/>
          <w:szCs w:val="32"/>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供应商名称</w:t>
            </w:r>
          </w:p>
        </w:tc>
        <w:tc>
          <w:tcPr>
            <w:tcW w:w="7560" w:type="dxa"/>
            <w:gridSpan w:val="11"/>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注册地址</w:t>
            </w:r>
          </w:p>
        </w:tc>
        <w:tc>
          <w:tcPr>
            <w:tcW w:w="4680" w:type="dxa"/>
            <w:gridSpan w:val="6"/>
            <w:vAlign w:val="center"/>
          </w:tcPr>
          <w:p>
            <w:pPr>
              <w:spacing w:line="360" w:lineRule="auto"/>
              <w:jc w:val="center"/>
              <w:rPr>
                <w:rFonts w:cs="Arial"/>
                <w:bCs/>
                <w:color w:val="000000"/>
                <w:szCs w:val="21"/>
                <w:highlight w:val="none"/>
              </w:rPr>
            </w:pPr>
          </w:p>
        </w:tc>
        <w:tc>
          <w:tcPr>
            <w:tcW w:w="126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邮政编码</w:t>
            </w:r>
          </w:p>
        </w:tc>
        <w:tc>
          <w:tcPr>
            <w:tcW w:w="1620" w:type="dxa"/>
            <w:gridSpan w:val="2"/>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cs="Arial"/>
                <w:bCs/>
                <w:color w:val="000000"/>
                <w:szCs w:val="21"/>
                <w:highlight w:val="none"/>
              </w:rPr>
            </w:pPr>
            <w:r>
              <w:rPr>
                <w:rFonts w:hint="eastAsia" w:cs="Arial"/>
                <w:bCs/>
                <w:color w:val="000000"/>
                <w:szCs w:val="21"/>
                <w:highlight w:val="none"/>
              </w:rPr>
              <w:t>联系方式</w:t>
            </w:r>
          </w:p>
        </w:tc>
        <w:tc>
          <w:tcPr>
            <w:tcW w:w="108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联系人</w:t>
            </w:r>
          </w:p>
        </w:tc>
        <w:tc>
          <w:tcPr>
            <w:tcW w:w="3600" w:type="dxa"/>
            <w:gridSpan w:val="5"/>
            <w:vAlign w:val="center"/>
          </w:tcPr>
          <w:p>
            <w:pPr>
              <w:spacing w:line="360" w:lineRule="auto"/>
              <w:jc w:val="center"/>
              <w:rPr>
                <w:rFonts w:cs="Arial"/>
                <w:bCs/>
                <w:color w:val="000000"/>
                <w:szCs w:val="21"/>
                <w:highlight w:val="none"/>
              </w:rPr>
            </w:pPr>
          </w:p>
        </w:tc>
        <w:tc>
          <w:tcPr>
            <w:tcW w:w="126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联系电话</w:t>
            </w:r>
          </w:p>
        </w:tc>
        <w:tc>
          <w:tcPr>
            <w:tcW w:w="1620" w:type="dxa"/>
            <w:gridSpan w:val="2"/>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cs="Arial"/>
                <w:bCs/>
                <w:color w:val="000000"/>
                <w:szCs w:val="21"/>
                <w:highlight w:val="none"/>
              </w:rPr>
            </w:pPr>
          </w:p>
        </w:tc>
        <w:tc>
          <w:tcPr>
            <w:tcW w:w="108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传真</w:t>
            </w:r>
          </w:p>
        </w:tc>
        <w:tc>
          <w:tcPr>
            <w:tcW w:w="3600" w:type="dxa"/>
            <w:gridSpan w:val="5"/>
            <w:vAlign w:val="center"/>
          </w:tcPr>
          <w:p>
            <w:pPr>
              <w:spacing w:line="360" w:lineRule="auto"/>
              <w:jc w:val="center"/>
              <w:rPr>
                <w:rFonts w:cs="Arial"/>
                <w:bCs/>
                <w:color w:val="000000"/>
                <w:szCs w:val="21"/>
                <w:highlight w:val="none"/>
              </w:rPr>
            </w:pPr>
          </w:p>
        </w:tc>
        <w:tc>
          <w:tcPr>
            <w:tcW w:w="126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网址</w:t>
            </w:r>
          </w:p>
        </w:tc>
        <w:tc>
          <w:tcPr>
            <w:tcW w:w="1620" w:type="dxa"/>
            <w:gridSpan w:val="2"/>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组织结构</w:t>
            </w:r>
          </w:p>
        </w:tc>
        <w:tc>
          <w:tcPr>
            <w:tcW w:w="7560" w:type="dxa"/>
            <w:gridSpan w:val="11"/>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法定代表人</w:t>
            </w:r>
          </w:p>
        </w:tc>
        <w:tc>
          <w:tcPr>
            <w:tcW w:w="1260" w:type="dxa"/>
            <w:gridSpan w:val="2"/>
            <w:vAlign w:val="center"/>
          </w:tcPr>
          <w:p>
            <w:pPr>
              <w:spacing w:line="360" w:lineRule="auto"/>
              <w:jc w:val="center"/>
              <w:rPr>
                <w:rFonts w:cs="Arial"/>
                <w:bCs/>
                <w:color w:val="000000"/>
                <w:szCs w:val="21"/>
                <w:highlight w:val="none"/>
              </w:rPr>
            </w:pPr>
            <w:r>
              <w:rPr>
                <w:rFonts w:hint="eastAsia" w:cs="Arial"/>
                <w:bCs/>
                <w:color w:val="000000"/>
                <w:szCs w:val="21"/>
                <w:highlight w:val="none"/>
              </w:rPr>
              <w:t>姓名</w:t>
            </w:r>
          </w:p>
        </w:tc>
        <w:tc>
          <w:tcPr>
            <w:tcW w:w="1260" w:type="dxa"/>
            <w:vAlign w:val="center"/>
          </w:tcPr>
          <w:p>
            <w:pPr>
              <w:spacing w:line="360" w:lineRule="auto"/>
              <w:jc w:val="center"/>
              <w:rPr>
                <w:rFonts w:cs="Arial"/>
                <w:bCs/>
                <w:color w:val="000000"/>
                <w:szCs w:val="21"/>
                <w:highlight w:val="none"/>
              </w:rPr>
            </w:pPr>
          </w:p>
        </w:tc>
        <w:tc>
          <w:tcPr>
            <w:tcW w:w="126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技术职称</w:t>
            </w:r>
          </w:p>
        </w:tc>
        <w:tc>
          <w:tcPr>
            <w:tcW w:w="1260" w:type="dxa"/>
            <w:gridSpan w:val="3"/>
            <w:vAlign w:val="center"/>
          </w:tcPr>
          <w:p>
            <w:pPr>
              <w:spacing w:line="360" w:lineRule="auto"/>
              <w:jc w:val="center"/>
              <w:rPr>
                <w:rFonts w:cs="Arial"/>
                <w:bCs/>
                <w:color w:val="000000"/>
                <w:szCs w:val="21"/>
                <w:highlight w:val="none"/>
              </w:rPr>
            </w:pPr>
          </w:p>
        </w:tc>
        <w:tc>
          <w:tcPr>
            <w:tcW w:w="126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联系电话</w:t>
            </w:r>
          </w:p>
        </w:tc>
        <w:tc>
          <w:tcPr>
            <w:tcW w:w="1260" w:type="dxa"/>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技术负责人</w:t>
            </w:r>
          </w:p>
        </w:tc>
        <w:tc>
          <w:tcPr>
            <w:tcW w:w="1260" w:type="dxa"/>
            <w:gridSpan w:val="2"/>
            <w:vAlign w:val="center"/>
          </w:tcPr>
          <w:p>
            <w:pPr>
              <w:spacing w:line="360" w:lineRule="auto"/>
              <w:jc w:val="center"/>
              <w:rPr>
                <w:rFonts w:cs="Arial"/>
                <w:bCs/>
                <w:color w:val="000000"/>
                <w:szCs w:val="21"/>
                <w:highlight w:val="none"/>
              </w:rPr>
            </w:pPr>
            <w:r>
              <w:rPr>
                <w:rFonts w:hint="eastAsia" w:cs="Arial"/>
                <w:bCs/>
                <w:color w:val="000000"/>
                <w:szCs w:val="21"/>
                <w:highlight w:val="none"/>
              </w:rPr>
              <w:t>姓名</w:t>
            </w:r>
          </w:p>
        </w:tc>
        <w:tc>
          <w:tcPr>
            <w:tcW w:w="1260" w:type="dxa"/>
            <w:vAlign w:val="center"/>
          </w:tcPr>
          <w:p>
            <w:pPr>
              <w:spacing w:line="360" w:lineRule="auto"/>
              <w:jc w:val="center"/>
              <w:rPr>
                <w:rFonts w:cs="Arial"/>
                <w:bCs/>
                <w:color w:val="000000"/>
                <w:szCs w:val="21"/>
                <w:highlight w:val="none"/>
              </w:rPr>
            </w:pPr>
          </w:p>
        </w:tc>
        <w:tc>
          <w:tcPr>
            <w:tcW w:w="126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技术职称</w:t>
            </w:r>
          </w:p>
        </w:tc>
        <w:tc>
          <w:tcPr>
            <w:tcW w:w="1260" w:type="dxa"/>
            <w:gridSpan w:val="3"/>
            <w:vAlign w:val="center"/>
          </w:tcPr>
          <w:p>
            <w:pPr>
              <w:spacing w:line="360" w:lineRule="auto"/>
              <w:jc w:val="center"/>
              <w:rPr>
                <w:rFonts w:cs="Arial"/>
                <w:bCs/>
                <w:color w:val="000000"/>
                <w:szCs w:val="21"/>
                <w:highlight w:val="none"/>
              </w:rPr>
            </w:pPr>
          </w:p>
        </w:tc>
        <w:tc>
          <w:tcPr>
            <w:tcW w:w="126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联系电话</w:t>
            </w:r>
          </w:p>
        </w:tc>
        <w:tc>
          <w:tcPr>
            <w:tcW w:w="1260" w:type="dxa"/>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成立时间</w:t>
            </w:r>
          </w:p>
        </w:tc>
        <w:tc>
          <w:tcPr>
            <w:tcW w:w="2520" w:type="dxa"/>
            <w:gridSpan w:val="3"/>
            <w:vAlign w:val="center"/>
          </w:tcPr>
          <w:p>
            <w:pPr>
              <w:spacing w:line="360" w:lineRule="auto"/>
              <w:jc w:val="center"/>
              <w:rPr>
                <w:rFonts w:cs="Arial"/>
                <w:bCs/>
                <w:color w:val="000000"/>
                <w:szCs w:val="21"/>
                <w:highlight w:val="none"/>
              </w:rPr>
            </w:pPr>
          </w:p>
        </w:tc>
        <w:tc>
          <w:tcPr>
            <w:tcW w:w="5040" w:type="dxa"/>
            <w:gridSpan w:val="8"/>
            <w:vAlign w:val="center"/>
          </w:tcPr>
          <w:p>
            <w:pPr>
              <w:spacing w:line="360" w:lineRule="auto"/>
              <w:jc w:val="center"/>
              <w:rPr>
                <w:rFonts w:cs="Arial"/>
                <w:bCs/>
                <w:color w:val="000000"/>
                <w:szCs w:val="21"/>
                <w:highlight w:val="none"/>
              </w:rPr>
            </w:pPr>
            <w:r>
              <w:rPr>
                <w:rFonts w:hint="eastAsia" w:cs="Arial"/>
                <w:bCs/>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企业资质等级</w:t>
            </w:r>
          </w:p>
        </w:tc>
        <w:tc>
          <w:tcPr>
            <w:tcW w:w="2520" w:type="dxa"/>
            <w:gridSpan w:val="3"/>
            <w:vAlign w:val="center"/>
          </w:tcPr>
          <w:p>
            <w:pPr>
              <w:spacing w:line="360" w:lineRule="auto"/>
              <w:jc w:val="center"/>
              <w:rPr>
                <w:rFonts w:cs="Arial"/>
                <w:bCs/>
                <w:color w:val="000000"/>
                <w:szCs w:val="21"/>
                <w:highlight w:val="none"/>
              </w:rPr>
            </w:pPr>
          </w:p>
        </w:tc>
        <w:tc>
          <w:tcPr>
            <w:tcW w:w="1680" w:type="dxa"/>
            <w:gridSpan w:val="2"/>
            <w:vMerge w:val="restart"/>
            <w:vAlign w:val="center"/>
          </w:tcPr>
          <w:p>
            <w:pPr>
              <w:spacing w:line="360" w:lineRule="auto"/>
              <w:jc w:val="center"/>
              <w:rPr>
                <w:rFonts w:cs="Arial"/>
                <w:bCs/>
                <w:color w:val="000000"/>
                <w:szCs w:val="21"/>
                <w:highlight w:val="none"/>
              </w:rPr>
            </w:pPr>
            <w:r>
              <w:rPr>
                <w:rFonts w:hint="eastAsia" w:cs="Arial"/>
                <w:bCs/>
                <w:color w:val="000000"/>
                <w:szCs w:val="21"/>
                <w:highlight w:val="none"/>
              </w:rPr>
              <w:t>其中</w:t>
            </w:r>
          </w:p>
        </w:tc>
        <w:tc>
          <w:tcPr>
            <w:tcW w:w="168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项目经理</w:t>
            </w:r>
          </w:p>
        </w:tc>
        <w:tc>
          <w:tcPr>
            <w:tcW w:w="1680" w:type="dxa"/>
            <w:gridSpan w:val="3"/>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营业执照</w:t>
            </w:r>
            <w:r>
              <w:rPr>
                <w:rFonts w:hint="eastAsia"/>
                <w:highlight w:val="none"/>
              </w:rPr>
              <w:t>号</w:t>
            </w:r>
          </w:p>
        </w:tc>
        <w:tc>
          <w:tcPr>
            <w:tcW w:w="2520" w:type="dxa"/>
            <w:gridSpan w:val="3"/>
            <w:vAlign w:val="center"/>
          </w:tcPr>
          <w:p>
            <w:pPr>
              <w:spacing w:line="360" w:lineRule="auto"/>
              <w:jc w:val="center"/>
              <w:rPr>
                <w:rFonts w:cs="Arial"/>
                <w:bCs/>
                <w:color w:val="000000"/>
                <w:szCs w:val="21"/>
                <w:highlight w:val="none"/>
              </w:rPr>
            </w:pPr>
          </w:p>
        </w:tc>
        <w:tc>
          <w:tcPr>
            <w:tcW w:w="1680" w:type="dxa"/>
            <w:gridSpan w:val="2"/>
            <w:vMerge w:val="continue"/>
            <w:vAlign w:val="center"/>
          </w:tcPr>
          <w:p>
            <w:pPr>
              <w:spacing w:line="360" w:lineRule="auto"/>
              <w:jc w:val="center"/>
              <w:rPr>
                <w:rFonts w:cs="Arial"/>
                <w:bCs/>
                <w:color w:val="000000"/>
                <w:szCs w:val="21"/>
                <w:highlight w:val="none"/>
              </w:rPr>
            </w:pPr>
          </w:p>
        </w:tc>
        <w:tc>
          <w:tcPr>
            <w:tcW w:w="168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高级职称人员</w:t>
            </w:r>
          </w:p>
        </w:tc>
        <w:tc>
          <w:tcPr>
            <w:tcW w:w="1680" w:type="dxa"/>
            <w:gridSpan w:val="3"/>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注册资金</w:t>
            </w:r>
          </w:p>
        </w:tc>
        <w:tc>
          <w:tcPr>
            <w:tcW w:w="2520" w:type="dxa"/>
            <w:gridSpan w:val="3"/>
            <w:vAlign w:val="center"/>
          </w:tcPr>
          <w:p>
            <w:pPr>
              <w:spacing w:line="360" w:lineRule="auto"/>
              <w:jc w:val="center"/>
              <w:rPr>
                <w:rFonts w:cs="Arial"/>
                <w:bCs/>
                <w:color w:val="000000"/>
                <w:szCs w:val="21"/>
                <w:highlight w:val="none"/>
              </w:rPr>
            </w:pPr>
          </w:p>
        </w:tc>
        <w:tc>
          <w:tcPr>
            <w:tcW w:w="1680" w:type="dxa"/>
            <w:gridSpan w:val="2"/>
            <w:vMerge w:val="continue"/>
            <w:vAlign w:val="center"/>
          </w:tcPr>
          <w:p>
            <w:pPr>
              <w:spacing w:line="360" w:lineRule="auto"/>
              <w:jc w:val="center"/>
              <w:rPr>
                <w:rFonts w:cs="Arial"/>
                <w:bCs/>
                <w:color w:val="000000"/>
                <w:szCs w:val="21"/>
                <w:highlight w:val="none"/>
              </w:rPr>
            </w:pPr>
          </w:p>
        </w:tc>
        <w:tc>
          <w:tcPr>
            <w:tcW w:w="168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中级职称人员</w:t>
            </w:r>
          </w:p>
        </w:tc>
        <w:tc>
          <w:tcPr>
            <w:tcW w:w="1680" w:type="dxa"/>
            <w:gridSpan w:val="3"/>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开户银行</w:t>
            </w:r>
          </w:p>
        </w:tc>
        <w:tc>
          <w:tcPr>
            <w:tcW w:w="2520" w:type="dxa"/>
            <w:gridSpan w:val="3"/>
            <w:vAlign w:val="center"/>
          </w:tcPr>
          <w:p>
            <w:pPr>
              <w:spacing w:line="360" w:lineRule="auto"/>
              <w:jc w:val="center"/>
              <w:rPr>
                <w:rFonts w:cs="Arial"/>
                <w:bCs/>
                <w:color w:val="000000"/>
                <w:szCs w:val="21"/>
                <w:highlight w:val="none"/>
              </w:rPr>
            </w:pPr>
          </w:p>
        </w:tc>
        <w:tc>
          <w:tcPr>
            <w:tcW w:w="1680" w:type="dxa"/>
            <w:gridSpan w:val="2"/>
            <w:vMerge w:val="continue"/>
            <w:vAlign w:val="center"/>
          </w:tcPr>
          <w:p>
            <w:pPr>
              <w:spacing w:line="360" w:lineRule="auto"/>
              <w:jc w:val="center"/>
              <w:rPr>
                <w:rFonts w:cs="Arial"/>
                <w:bCs/>
                <w:color w:val="000000"/>
                <w:szCs w:val="21"/>
                <w:highlight w:val="none"/>
              </w:rPr>
            </w:pPr>
          </w:p>
        </w:tc>
        <w:tc>
          <w:tcPr>
            <w:tcW w:w="168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初级职称人员</w:t>
            </w:r>
          </w:p>
        </w:tc>
        <w:tc>
          <w:tcPr>
            <w:tcW w:w="1680" w:type="dxa"/>
            <w:gridSpan w:val="3"/>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账号</w:t>
            </w:r>
          </w:p>
        </w:tc>
        <w:tc>
          <w:tcPr>
            <w:tcW w:w="2520" w:type="dxa"/>
            <w:gridSpan w:val="3"/>
            <w:vAlign w:val="center"/>
          </w:tcPr>
          <w:p>
            <w:pPr>
              <w:spacing w:line="360" w:lineRule="auto"/>
              <w:jc w:val="center"/>
              <w:rPr>
                <w:rFonts w:cs="Arial"/>
                <w:bCs/>
                <w:color w:val="000000"/>
                <w:szCs w:val="21"/>
                <w:highlight w:val="none"/>
              </w:rPr>
            </w:pPr>
          </w:p>
        </w:tc>
        <w:tc>
          <w:tcPr>
            <w:tcW w:w="1680" w:type="dxa"/>
            <w:gridSpan w:val="2"/>
            <w:vMerge w:val="continue"/>
            <w:vAlign w:val="center"/>
          </w:tcPr>
          <w:p>
            <w:pPr>
              <w:spacing w:line="360" w:lineRule="auto"/>
              <w:jc w:val="center"/>
              <w:rPr>
                <w:rFonts w:cs="Arial"/>
                <w:bCs/>
                <w:color w:val="000000"/>
                <w:szCs w:val="21"/>
                <w:highlight w:val="none"/>
              </w:rPr>
            </w:pPr>
          </w:p>
        </w:tc>
        <w:tc>
          <w:tcPr>
            <w:tcW w:w="1680" w:type="dxa"/>
            <w:gridSpan w:val="3"/>
            <w:vAlign w:val="center"/>
          </w:tcPr>
          <w:p>
            <w:pPr>
              <w:spacing w:line="360" w:lineRule="auto"/>
              <w:jc w:val="center"/>
              <w:rPr>
                <w:rFonts w:cs="Arial"/>
                <w:bCs/>
                <w:color w:val="000000"/>
                <w:szCs w:val="21"/>
                <w:highlight w:val="none"/>
              </w:rPr>
            </w:pPr>
            <w:r>
              <w:rPr>
                <w:rFonts w:hint="eastAsia" w:cs="Arial"/>
                <w:bCs/>
                <w:color w:val="000000"/>
                <w:szCs w:val="21"/>
                <w:highlight w:val="none"/>
              </w:rPr>
              <w:t>技工</w:t>
            </w:r>
          </w:p>
        </w:tc>
        <w:tc>
          <w:tcPr>
            <w:tcW w:w="1680" w:type="dxa"/>
            <w:gridSpan w:val="3"/>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经营范围</w:t>
            </w:r>
          </w:p>
        </w:tc>
        <w:tc>
          <w:tcPr>
            <w:tcW w:w="7560" w:type="dxa"/>
            <w:gridSpan w:val="11"/>
            <w:vAlign w:val="center"/>
          </w:tcPr>
          <w:p>
            <w:pPr>
              <w:spacing w:line="360" w:lineRule="auto"/>
              <w:jc w:val="center"/>
              <w:rPr>
                <w:rFonts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cs="Arial"/>
                <w:bCs/>
                <w:color w:val="000000"/>
                <w:szCs w:val="21"/>
                <w:highlight w:val="none"/>
              </w:rPr>
            </w:pPr>
            <w:r>
              <w:rPr>
                <w:rFonts w:hint="eastAsia" w:cs="Arial"/>
                <w:bCs/>
                <w:color w:val="000000"/>
                <w:szCs w:val="21"/>
                <w:highlight w:val="none"/>
              </w:rPr>
              <w:t>备注</w:t>
            </w:r>
          </w:p>
        </w:tc>
        <w:tc>
          <w:tcPr>
            <w:tcW w:w="7560" w:type="dxa"/>
            <w:gridSpan w:val="11"/>
            <w:vAlign w:val="center"/>
          </w:tcPr>
          <w:p>
            <w:pPr>
              <w:spacing w:line="360" w:lineRule="auto"/>
              <w:jc w:val="center"/>
              <w:rPr>
                <w:rFonts w:cs="Arial"/>
                <w:bCs/>
                <w:color w:val="000000"/>
                <w:szCs w:val="21"/>
                <w:highlight w:val="none"/>
              </w:rPr>
            </w:pPr>
          </w:p>
        </w:tc>
      </w:tr>
    </w:tbl>
    <w:p>
      <w:pPr>
        <w:adjustRightInd w:val="0"/>
        <w:spacing w:line="360" w:lineRule="auto"/>
        <w:rPr>
          <w:color w:val="000000"/>
          <w:highlight w:val="none"/>
        </w:rPr>
      </w:pPr>
      <w:r>
        <w:rPr>
          <w:rFonts w:hint="eastAsia"/>
          <w:color w:val="000000"/>
          <w:highlight w:val="none"/>
        </w:rPr>
        <w:t>注：后附营业执照复印件（加盖单位公章）。</w:t>
      </w:r>
    </w:p>
    <w:p>
      <w:pPr>
        <w:adjustRightInd w:val="0"/>
        <w:spacing w:line="360" w:lineRule="auto"/>
        <w:rPr>
          <w:color w:val="000000"/>
          <w:highlight w:val="none"/>
        </w:rPr>
      </w:pPr>
      <w:r>
        <w:rPr>
          <w:rFonts w:hint="eastAsia"/>
          <w:color w:val="000000"/>
          <w:highlight w:val="none"/>
        </w:rPr>
        <w:t>供应商名称：</w:t>
      </w:r>
      <w:r>
        <w:rPr>
          <w:rFonts w:hint="eastAsia"/>
          <w:color w:val="000000"/>
          <w:highlight w:val="none"/>
          <w:u w:val="single"/>
        </w:rPr>
        <w:t>XXX</w:t>
      </w:r>
      <w:r>
        <w:rPr>
          <w:rFonts w:hint="eastAsia"/>
          <w:color w:val="000000"/>
          <w:highlight w:val="none"/>
        </w:rPr>
        <w:t>（盖单位公章）</w:t>
      </w:r>
    </w:p>
    <w:p>
      <w:pPr>
        <w:adjustRightInd w:val="0"/>
        <w:spacing w:line="360" w:lineRule="auto"/>
        <w:rPr>
          <w:bCs/>
          <w:color w:val="000000"/>
          <w:highlight w:val="none"/>
        </w:rPr>
      </w:pPr>
      <w:r>
        <w:rPr>
          <w:rFonts w:hint="eastAsia"/>
          <w:bCs/>
          <w:color w:val="000000"/>
          <w:highlight w:val="none"/>
        </w:rPr>
        <w:t>法定代表人或授权代表（签字或盖章）：XXX</w:t>
      </w:r>
    </w:p>
    <w:p>
      <w:pPr>
        <w:adjustRightInd w:val="0"/>
        <w:spacing w:line="360" w:lineRule="auto"/>
        <w:rPr>
          <w:bCs/>
          <w:color w:val="000000"/>
          <w:highlight w:val="none"/>
        </w:rPr>
      </w:pPr>
      <w:r>
        <w:rPr>
          <w:rFonts w:hint="eastAsia"/>
          <w:bCs/>
          <w:color w:val="000000"/>
          <w:highlight w:val="none"/>
        </w:rPr>
        <w:t>日  期：XXX年XXX月XXX日</w:t>
      </w:r>
    </w:p>
    <w:p>
      <w:pPr>
        <w:spacing w:line="360" w:lineRule="auto"/>
        <w:rPr>
          <w:b/>
          <w:bCs/>
          <w:color w:val="000000"/>
          <w:sz w:val="36"/>
          <w:highlight w:val="none"/>
        </w:rPr>
      </w:pPr>
    </w:p>
    <w:p>
      <w:pPr>
        <w:rPr>
          <w:rFonts w:hint="eastAsia"/>
          <w:highlight w:val="none"/>
        </w:rPr>
      </w:pPr>
      <w:bookmarkStart w:id="159" w:name="_Toc96702576"/>
      <w:r>
        <w:rPr>
          <w:rFonts w:hint="eastAsia"/>
          <w:highlight w:val="none"/>
        </w:rPr>
        <w:br w:type="page"/>
      </w:r>
    </w:p>
    <w:p>
      <w:pPr>
        <w:pStyle w:val="4"/>
        <w:spacing w:line="360" w:lineRule="auto"/>
        <w:rPr>
          <w:highlight w:val="none"/>
        </w:rPr>
      </w:pPr>
      <w:r>
        <w:rPr>
          <w:rFonts w:hint="eastAsia"/>
          <w:highlight w:val="none"/>
        </w:rPr>
        <w:t>三、承诺函</w:t>
      </w:r>
      <w:bookmarkEnd w:id="159"/>
    </w:p>
    <w:p>
      <w:pPr>
        <w:spacing w:line="360" w:lineRule="auto"/>
        <w:ind w:firstLine="560" w:firstLineChars="200"/>
        <w:jc w:val="center"/>
        <w:rPr>
          <w:rFonts w:eastAsia="黑体"/>
          <w:b/>
          <w:color w:val="000000"/>
          <w:sz w:val="28"/>
          <w:szCs w:val="28"/>
          <w:highlight w:val="none"/>
        </w:rPr>
      </w:pPr>
    </w:p>
    <w:p>
      <w:pPr>
        <w:spacing w:line="360" w:lineRule="auto"/>
        <w:ind w:firstLine="480" w:firstLineChars="200"/>
        <w:rPr>
          <w:color w:val="000000"/>
          <w:highlight w:val="none"/>
        </w:rPr>
      </w:pP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（采购人）</w:t>
      </w:r>
      <w:r>
        <w:rPr>
          <w:rFonts w:hint="eastAsia"/>
          <w:color w:val="000000"/>
          <w:highlight w:val="none"/>
        </w:rPr>
        <w:t>：</w:t>
      </w:r>
    </w:p>
    <w:p>
      <w:pPr>
        <w:spacing w:line="360" w:lineRule="auto"/>
        <w:ind w:firstLine="480" w:firstLineChars="200"/>
        <w:rPr>
          <w:color w:val="000000"/>
          <w:highlight w:val="none"/>
        </w:rPr>
      </w:pPr>
      <w:r>
        <w:rPr>
          <w:rFonts w:hint="eastAsia"/>
          <w:color w:val="000000"/>
          <w:highlight w:val="none"/>
        </w:rPr>
        <w:t>我公司作为本次采购项目的供应商，根据谈判文件要求，现郑重承诺如下：</w:t>
      </w:r>
    </w:p>
    <w:p>
      <w:pPr>
        <w:spacing w:line="360" w:lineRule="auto"/>
        <w:ind w:firstLine="480" w:firstLineChars="200"/>
        <w:rPr>
          <w:color w:val="000000"/>
          <w:highlight w:val="none"/>
        </w:rPr>
      </w:pPr>
      <w:r>
        <w:rPr>
          <w:rFonts w:hint="eastAsia"/>
          <w:color w:val="000000"/>
          <w:highlight w:val="none"/>
        </w:rPr>
        <w:t>一、具备本项目规定的条件：</w:t>
      </w:r>
    </w:p>
    <w:p>
      <w:pPr>
        <w:spacing w:line="360" w:lineRule="auto"/>
        <w:ind w:firstLine="480" w:firstLineChars="200"/>
        <w:rPr>
          <w:color w:val="000000"/>
          <w:highlight w:val="none"/>
        </w:rPr>
      </w:pPr>
      <w:r>
        <w:rPr>
          <w:rFonts w:hint="eastAsia"/>
          <w:color w:val="000000"/>
          <w:highlight w:val="none"/>
        </w:rPr>
        <w:t>1.具有独立承担民事责任的能力；</w:t>
      </w:r>
    </w:p>
    <w:p>
      <w:pPr>
        <w:spacing w:line="360" w:lineRule="auto"/>
        <w:ind w:firstLine="480" w:firstLineChars="200"/>
        <w:rPr>
          <w:color w:val="000000"/>
          <w:highlight w:val="none"/>
        </w:rPr>
      </w:pPr>
      <w:r>
        <w:rPr>
          <w:rFonts w:hint="eastAsia"/>
          <w:color w:val="000000"/>
          <w:highlight w:val="none"/>
        </w:rPr>
        <w:t>2.具有良好的商业信誉和健全的财务会计制度；</w:t>
      </w:r>
    </w:p>
    <w:p>
      <w:pPr>
        <w:spacing w:line="360" w:lineRule="auto"/>
        <w:ind w:firstLine="480" w:firstLineChars="200"/>
        <w:rPr>
          <w:color w:val="000000"/>
          <w:highlight w:val="none"/>
        </w:rPr>
      </w:pPr>
      <w:r>
        <w:rPr>
          <w:rFonts w:hint="eastAsia"/>
          <w:color w:val="000000"/>
          <w:highlight w:val="none"/>
        </w:rPr>
        <w:t>3.具有履行合同所必须的设备和专业技术能力；</w:t>
      </w:r>
    </w:p>
    <w:p>
      <w:pPr>
        <w:spacing w:line="360" w:lineRule="auto"/>
        <w:ind w:firstLine="480" w:firstLineChars="200"/>
        <w:rPr>
          <w:color w:val="000000"/>
          <w:highlight w:val="none"/>
        </w:rPr>
      </w:pPr>
      <w:r>
        <w:rPr>
          <w:rFonts w:hint="eastAsia"/>
          <w:color w:val="000000"/>
          <w:highlight w:val="none"/>
        </w:rPr>
        <w:t>4.具有依法缴纳税收和社会保障资金的良好记录；</w:t>
      </w:r>
    </w:p>
    <w:p>
      <w:pPr>
        <w:spacing w:line="360" w:lineRule="auto"/>
        <w:ind w:firstLine="480" w:firstLineChars="200"/>
        <w:rPr>
          <w:color w:val="000000"/>
          <w:highlight w:val="none"/>
        </w:rPr>
      </w:pPr>
      <w:r>
        <w:rPr>
          <w:rFonts w:hint="eastAsia"/>
          <w:color w:val="000000"/>
          <w:highlight w:val="none"/>
        </w:rPr>
        <w:t>5.参加本次采购活动前三年内，在经营活动中没有重大违法记录；</w:t>
      </w:r>
    </w:p>
    <w:p>
      <w:pPr>
        <w:spacing w:line="360" w:lineRule="auto"/>
        <w:ind w:firstLine="480" w:firstLineChars="200"/>
        <w:rPr>
          <w:color w:val="000000"/>
          <w:highlight w:val="none"/>
        </w:rPr>
      </w:pPr>
      <w:r>
        <w:rPr>
          <w:rFonts w:hint="eastAsia"/>
          <w:color w:val="000000"/>
          <w:highlight w:val="none"/>
        </w:rPr>
        <w:t>6.法律、行政法规规定的其他条件；</w:t>
      </w:r>
    </w:p>
    <w:p>
      <w:pPr>
        <w:spacing w:line="360" w:lineRule="auto"/>
        <w:ind w:firstLine="480" w:firstLineChars="200"/>
        <w:rPr>
          <w:color w:val="000000"/>
          <w:highlight w:val="none"/>
        </w:rPr>
      </w:pPr>
      <w:r>
        <w:rPr>
          <w:rFonts w:hint="eastAsia"/>
          <w:color w:val="000000"/>
          <w:highlight w:val="none"/>
        </w:rPr>
        <w:t>7.我单位及其现任法定代表人、主要负责人参加本次采购活动前三年内无行贿犯罪记录。</w:t>
      </w:r>
    </w:p>
    <w:p>
      <w:pPr>
        <w:spacing w:line="360" w:lineRule="auto"/>
        <w:ind w:firstLine="480" w:firstLineChars="200"/>
        <w:rPr>
          <w:color w:val="000000"/>
          <w:highlight w:val="none"/>
        </w:rPr>
      </w:pPr>
      <w:r>
        <w:rPr>
          <w:color w:val="000000"/>
          <w:highlight w:val="none"/>
        </w:rPr>
        <w:t>8.</w:t>
      </w:r>
      <w:r>
        <w:rPr>
          <w:rFonts w:hint="eastAsia"/>
          <w:color w:val="000000"/>
          <w:highlight w:val="none"/>
        </w:rPr>
        <w:t>我方非</w:t>
      </w:r>
      <w:r>
        <w:rPr>
          <w:color w:val="000000"/>
          <w:highlight w:val="none"/>
        </w:rPr>
        <w:t>联合体</w:t>
      </w:r>
      <w:r>
        <w:rPr>
          <w:rFonts w:hint="eastAsia"/>
          <w:color w:val="000000"/>
          <w:highlight w:val="none"/>
        </w:rPr>
        <w:t>参与竞争性谈判。</w:t>
      </w:r>
    </w:p>
    <w:p>
      <w:pPr>
        <w:spacing w:line="360" w:lineRule="auto"/>
        <w:ind w:firstLine="480" w:firstLineChars="200"/>
        <w:rPr>
          <w:color w:val="000000"/>
          <w:highlight w:val="none"/>
        </w:rPr>
      </w:pPr>
      <w:r>
        <w:rPr>
          <w:rFonts w:hint="eastAsia"/>
          <w:color w:val="000000"/>
          <w:highlight w:val="none"/>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360" w:lineRule="auto"/>
        <w:ind w:firstLine="480" w:firstLineChars="200"/>
        <w:rPr>
          <w:color w:val="000000"/>
          <w:highlight w:val="none"/>
        </w:rPr>
      </w:pPr>
      <w:r>
        <w:rPr>
          <w:rFonts w:hint="eastAsia"/>
          <w:color w:val="000000"/>
          <w:highlight w:val="none"/>
        </w:rPr>
        <w:t>三、在参加本次采购活动中，不存在与单位负责人为同一人或者存在直接控股、管理关系的其他供应商参与同一合同项下的采购活动的行为。</w:t>
      </w:r>
    </w:p>
    <w:p>
      <w:pPr>
        <w:spacing w:line="360" w:lineRule="auto"/>
        <w:ind w:firstLine="480" w:firstLineChars="200"/>
        <w:rPr>
          <w:color w:val="000000"/>
          <w:highlight w:val="none"/>
        </w:rPr>
      </w:pPr>
      <w:r>
        <w:rPr>
          <w:rFonts w:hint="eastAsia"/>
          <w:color w:val="000000"/>
          <w:highlight w:val="none"/>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color w:val="000000"/>
          <w:highlight w:val="none"/>
        </w:rPr>
      </w:pPr>
      <w:r>
        <w:rPr>
          <w:rFonts w:hint="eastAsia"/>
          <w:color w:val="000000"/>
          <w:highlight w:val="none"/>
        </w:rPr>
        <w:t>五、响应文件中提供的任何资料和技术、服务、商务等响应承诺情况都是真实的、有效的、合法的。</w:t>
      </w:r>
    </w:p>
    <w:p>
      <w:pPr>
        <w:spacing w:line="360" w:lineRule="auto"/>
        <w:ind w:firstLine="480" w:firstLineChars="200"/>
        <w:rPr>
          <w:color w:val="000000"/>
          <w:highlight w:val="none"/>
        </w:rPr>
      </w:pPr>
      <w:r>
        <w:rPr>
          <w:rFonts w:hint="eastAsia"/>
          <w:color w:val="000000"/>
          <w:highlight w:val="none"/>
        </w:rPr>
        <w:t>本公司对上述承诺的内容事项真实性负责。如经查实上述承诺的内容事项存在虚假，我公司愿意接受以提供虚假材料谋取成交的法律责任。</w:t>
      </w:r>
    </w:p>
    <w:p>
      <w:pPr>
        <w:spacing w:line="360" w:lineRule="auto"/>
        <w:ind w:firstLine="480" w:firstLineChars="200"/>
        <w:rPr>
          <w:color w:val="000000"/>
          <w:highlight w:val="none"/>
        </w:rPr>
      </w:pPr>
    </w:p>
    <w:p>
      <w:pPr>
        <w:spacing w:line="360" w:lineRule="auto"/>
        <w:ind w:firstLine="480" w:firstLineChars="200"/>
        <w:rPr>
          <w:color w:val="000000"/>
          <w:highlight w:val="none"/>
        </w:rPr>
      </w:pPr>
    </w:p>
    <w:p>
      <w:pPr>
        <w:spacing w:line="360" w:lineRule="auto"/>
        <w:ind w:firstLine="480" w:firstLineChars="200"/>
        <w:rPr>
          <w:color w:val="000000"/>
          <w:highlight w:val="none"/>
        </w:rPr>
      </w:pPr>
      <w:r>
        <w:rPr>
          <w:rFonts w:hint="eastAsia"/>
          <w:color w:val="000000"/>
          <w:highlight w:val="none"/>
        </w:rPr>
        <w:t>法定代表人签字或者加盖个人私章：XXXX</w:t>
      </w:r>
    </w:p>
    <w:p>
      <w:pPr>
        <w:spacing w:line="360" w:lineRule="auto"/>
        <w:ind w:firstLine="480" w:firstLineChars="200"/>
        <w:rPr>
          <w:color w:val="000000"/>
          <w:highlight w:val="none"/>
        </w:rPr>
      </w:pPr>
      <w:r>
        <w:rPr>
          <w:rFonts w:hint="eastAsia"/>
          <w:color w:val="000000"/>
          <w:highlight w:val="none"/>
        </w:rPr>
        <w:t>授权代表签字：XXXX</w:t>
      </w:r>
    </w:p>
    <w:p>
      <w:pPr>
        <w:spacing w:line="360" w:lineRule="auto"/>
        <w:ind w:firstLine="480" w:firstLineChars="200"/>
        <w:rPr>
          <w:color w:val="000000"/>
          <w:highlight w:val="none"/>
        </w:rPr>
      </w:pPr>
      <w:r>
        <w:rPr>
          <w:rFonts w:hint="eastAsia"/>
          <w:color w:val="000000"/>
          <w:highlight w:val="none"/>
        </w:rPr>
        <w:t>供应商名称：XXXX（盖章）</w:t>
      </w:r>
    </w:p>
    <w:p>
      <w:pPr>
        <w:spacing w:line="360" w:lineRule="auto"/>
        <w:ind w:firstLine="480" w:firstLineChars="200"/>
        <w:rPr>
          <w:color w:val="000000"/>
          <w:highlight w:val="none"/>
        </w:rPr>
      </w:pPr>
      <w:r>
        <w:rPr>
          <w:rFonts w:hint="eastAsia"/>
          <w:color w:val="000000"/>
          <w:highlight w:val="none"/>
        </w:rPr>
        <w:t>日    期：XXX年XXX月XXX日</w:t>
      </w:r>
    </w:p>
    <w:p>
      <w:pPr>
        <w:spacing w:line="360" w:lineRule="auto"/>
        <w:jc w:val="center"/>
        <w:rPr>
          <w:bCs/>
          <w:color w:val="000000"/>
          <w:sz w:val="30"/>
          <w:szCs w:val="30"/>
          <w:highlight w:val="none"/>
        </w:rPr>
      </w:pPr>
    </w:p>
    <w:p>
      <w:pPr>
        <w:pStyle w:val="4"/>
        <w:spacing w:line="360" w:lineRule="auto"/>
        <w:rPr>
          <w:highlight w:val="none"/>
        </w:rPr>
      </w:pPr>
      <w:bookmarkStart w:id="160" w:name="_Toc96702577"/>
      <w:r>
        <w:rPr>
          <w:highlight w:val="none"/>
          <w:lang w:val="en-US"/>
        </w:rPr>
        <w:br w:type="page"/>
      </w:r>
      <w:r>
        <w:rPr>
          <w:rFonts w:hint="eastAsia"/>
          <w:highlight w:val="none"/>
        </w:rPr>
        <w:t>四、报价函</w:t>
      </w:r>
      <w:bookmarkEnd w:id="160"/>
    </w:p>
    <w:p>
      <w:pPr>
        <w:spacing w:line="360" w:lineRule="auto"/>
        <w:rPr>
          <w:color w:val="000000"/>
          <w:highlight w:val="none"/>
        </w:rPr>
      </w:pPr>
    </w:p>
    <w:p>
      <w:pPr>
        <w:spacing w:line="360" w:lineRule="auto"/>
        <w:rPr>
          <w:color w:val="000000"/>
          <w:highlight w:val="none"/>
        </w:rPr>
      </w:pPr>
      <w:r>
        <w:rPr>
          <w:rFonts w:hint="eastAsia"/>
          <w:color w:val="000000"/>
          <w:highlight w:val="none"/>
        </w:rPr>
        <w:t>XXX（采购人）：</w:t>
      </w:r>
    </w:p>
    <w:p>
      <w:pPr>
        <w:spacing w:line="360" w:lineRule="auto"/>
        <w:ind w:firstLine="480" w:firstLineChars="200"/>
        <w:rPr>
          <w:color w:val="000000"/>
          <w:highlight w:val="none"/>
        </w:rPr>
      </w:pPr>
      <w:r>
        <w:rPr>
          <w:rFonts w:hint="eastAsia"/>
          <w:color w:val="000000"/>
          <w:highlight w:val="none"/>
        </w:rPr>
        <w:t>1.我方全面研究了“XXXXXX”项目谈判文件（项目编号：XXXX），决定参加贵单位组织的本项目谈判采购。</w:t>
      </w:r>
    </w:p>
    <w:p>
      <w:pPr>
        <w:spacing w:line="360" w:lineRule="auto"/>
        <w:ind w:firstLine="480" w:firstLineChars="200"/>
        <w:rPr>
          <w:color w:val="000000"/>
          <w:highlight w:val="none"/>
        </w:rPr>
      </w:pPr>
      <w:r>
        <w:rPr>
          <w:rFonts w:hint="eastAsia"/>
          <w:color w:val="000000"/>
          <w:highlight w:val="none"/>
        </w:rPr>
        <w:t>2.我方自愿按照谈判文件规定的各项要求向采购人提供所需货物，总报价为人民币XX万元（大写：XXXX）。</w:t>
      </w:r>
    </w:p>
    <w:p>
      <w:pPr>
        <w:spacing w:line="360" w:lineRule="auto"/>
        <w:ind w:firstLine="480" w:firstLineChars="200"/>
        <w:rPr>
          <w:color w:val="000000"/>
          <w:highlight w:val="none"/>
        </w:rPr>
      </w:pPr>
      <w:r>
        <w:rPr>
          <w:rFonts w:hint="eastAsia"/>
          <w:color w:val="000000"/>
          <w:highlight w:val="none"/>
        </w:rPr>
        <w:t>3.一旦我方成交，我方将严格履行采购合同规定的责任和义务，并按合同规定完成本项目所有服务。</w:t>
      </w:r>
    </w:p>
    <w:p>
      <w:pPr>
        <w:spacing w:line="360" w:lineRule="auto"/>
        <w:ind w:firstLine="480" w:firstLineChars="200"/>
        <w:rPr>
          <w:color w:val="000000"/>
          <w:highlight w:val="none"/>
        </w:rPr>
      </w:pPr>
      <w:r>
        <w:rPr>
          <w:rFonts w:hint="eastAsia"/>
          <w:color w:val="000000"/>
          <w:highlight w:val="none"/>
        </w:rPr>
        <w:t>4.我方为本项目提交的响应文件正本1份，副本</w:t>
      </w:r>
      <w:r>
        <w:rPr>
          <w:color w:val="000000"/>
          <w:highlight w:val="none"/>
        </w:rPr>
        <w:t>2</w:t>
      </w:r>
      <w:r>
        <w:rPr>
          <w:rFonts w:hint="eastAsia"/>
          <w:color w:val="000000"/>
          <w:highlight w:val="none"/>
        </w:rPr>
        <w:t>份，电子文档（U盘）1份，用于谈判报价。</w:t>
      </w:r>
    </w:p>
    <w:p>
      <w:pPr>
        <w:spacing w:line="360" w:lineRule="auto"/>
        <w:ind w:firstLine="480" w:firstLineChars="200"/>
        <w:rPr>
          <w:color w:val="000000"/>
          <w:highlight w:val="none"/>
        </w:rPr>
      </w:pPr>
      <w:r>
        <w:rPr>
          <w:rFonts w:hint="eastAsia"/>
          <w:color w:val="000000"/>
          <w:highlight w:val="none"/>
        </w:rPr>
        <w:t>5.我方愿意提供贵单位可能另外要求的，与谈判报价有关的文件资料，并保证我方已提供和将要提供的文件资料是真实、准确的。</w:t>
      </w:r>
    </w:p>
    <w:p>
      <w:pPr>
        <w:spacing w:line="360" w:lineRule="auto"/>
        <w:ind w:firstLine="480" w:firstLineChars="200"/>
        <w:rPr>
          <w:color w:val="000000"/>
          <w:highlight w:val="none"/>
        </w:rPr>
      </w:pPr>
      <w:r>
        <w:rPr>
          <w:rFonts w:hint="eastAsia"/>
          <w:color w:val="000000"/>
          <w:highlight w:val="none"/>
        </w:rPr>
        <w:t>6.本次谈判，我方递交的响应文件有效期为采购文件规定起算之日起</w:t>
      </w:r>
      <w:r>
        <w:rPr>
          <w:color w:val="000000"/>
          <w:highlight w:val="none"/>
        </w:rPr>
        <w:t>60</w:t>
      </w:r>
      <w:r>
        <w:rPr>
          <w:rFonts w:hint="eastAsia"/>
          <w:color w:val="000000"/>
          <w:highlight w:val="none"/>
        </w:rPr>
        <w:t>天。</w:t>
      </w:r>
    </w:p>
    <w:p>
      <w:pPr>
        <w:adjustRightInd w:val="0"/>
        <w:spacing w:line="360" w:lineRule="auto"/>
        <w:ind w:firstLine="480" w:firstLineChars="200"/>
        <w:rPr>
          <w:color w:val="000000"/>
          <w:highlight w:val="none"/>
        </w:rPr>
      </w:pPr>
    </w:p>
    <w:p>
      <w:pPr>
        <w:adjustRightInd w:val="0"/>
        <w:spacing w:line="360" w:lineRule="auto"/>
        <w:ind w:firstLine="480" w:firstLineChars="200"/>
        <w:rPr>
          <w:color w:val="000000"/>
          <w:highlight w:val="none"/>
        </w:rPr>
      </w:pPr>
    </w:p>
    <w:p>
      <w:pPr>
        <w:adjustRightInd w:val="0"/>
        <w:spacing w:line="360" w:lineRule="auto"/>
        <w:ind w:firstLine="480" w:firstLineChars="200"/>
        <w:rPr>
          <w:color w:val="000000"/>
          <w:highlight w:val="none"/>
        </w:rPr>
      </w:pPr>
      <w:r>
        <w:rPr>
          <w:rFonts w:hint="eastAsia"/>
          <w:color w:val="000000"/>
          <w:highlight w:val="none"/>
        </w:rPr>
        <w:t>供应商名称：</w:t>
      </w:r>
      <w:r>
        <w:rPr>
          <w:rFonts w:hint="eastAsia"/>
          <w:color w:val="000000"/>
          <w:highlight w:val="none"/>
          <w:u w:val="single"/>
        </w:rPr>
        <w:t>XXX</w:t>
      </w:r>
      <w:r>
        <w:rPr>
          <w:rFonts w:hint="eastAsia"/>
          <w:color w:val="000000"/>
          <w:highlight w:val="none"/>
        </w:rPr>
        <w:t>（盖单位公章）</w:t>
      </w:r>
    </w:p>
    <w:p>
      <w:pPr>
        <w:spacing w:line="360" w:lineRule="auto"/>
        <w:ind w:firstLine="470" w:firstLineChars="196"/>
        <w:rPr>
          <w:color w:val="000000"/>
          <w:highlight w:val="none"/>
        </w:rPr>
      </w:pPr>
      <w:r>
        <w:rPr>
          <w:rFonts w:hint="eastAsia"/>
          <w:color w:val="000000"/>
          <w:highlight w:val="none"/>
        </w:rPr>
        <w:t>法定代表人或授权代表（签字或盖章）：XXX</w:t>
      </w:r>
    </w:p>
    <w:p>
      <w:pPr>
        <w:spacing w:line="360" w:lineRule="auto"/>
        <w:ind w:firstLine="470" w:firstLineChars="196"/>
        <w:rPr>
          <w:color w:val="000000"/>
          <w:highlight w:val="none"/>
        </w:rPr>
      </w:pPr>
      <w:r>
        <w:rPr>
          <w:rFonts w:hint="eastAsia"/>
          <w:color w:val="000000"/>
          <w:highlight w:val="none"/>
        </w:rPr>
        <w:t>通讯地址：XXX</w:t>
      </w:r>
    </w:p>
    <w:p>
      <w:pPr>
        <w:spacing w:line="360" w:lineRule="auto"/>
        <w:ind w:firstLine="470" w:firstLineChars="196"/>
        <w:rPr>
          <w:color w:val="000000"/>
          <w:highlight w:val="none"/>
        </w:rPr>
      </w:pPr>
      <w:r>
        <w:rPr>
          <w:rFonts w:hint="eastAsia"/>
          <w:color w:val="000000"/>
          <w:highlight w:val="none"/>
        </w:rPr>
        <w:t>邮政编码：XXX</w:t>
      </w:r>
    </w:p>
    <w:p>
      <w:pPr>
        <w:spacing w:line="360" w:lineRule="auto"/>
        <w:ind w:firstLine="470" w:firstLineChars="196"/>
        <w:rPr>
          <w:color w:val="000000"/>
          <w:highlight w:val="none"/>
        </w:rPr>
      </w:pPr>
      <w:r>
        <w:rPr>
          <w:rFonts w:hint="eastAsia"/>
          <w:color w:val="000000"/>
          <w:highlight w:val="none"/>
        </w:rPr>
        <w:t>联系电话：XXX</w:t>
      </w:r>
    </w:p>
    <w:p>
      <w:pPr>
        <w:spacing w:line="360" w:lineRule="auto"/>
        <w:ind w:firstLine="470" w:firstLineChars="196"/>
        <w:rPr>
          <w:color w:val="000000"/>
          <w:highlight w:val="none"/>
        </w:rPr>
      </w:pPr>
      <w:r>
        <w:rPr>
          <w:rFonts w:hint="eastAsia"/>
          <w:color w:val="000000"/>
          <w:highlight w:val="none"/>
        </w:rPr>
        <w:t>传    真：XXX</w:t>
      </w:r>
    </w:p>
    <w:p>
      <w:pPr>
        <w:spacing w:line="360" w:lineRule="auto"/>
        <w:ind w:firstLine="470" w:firstLineChars="196"/>
        <w:rPr>
          <w:color w:val="000000"/>
          <w:highlight w:val="none"/>
        </w:rPr>
      </w:pPr>
      <w:r>
        <w:rPr>
          <w:rFonts w:hint="eastAsia"/>
          <w:color w:val="000000"/>
          <w:highlight w:val="none"/>
        </w:rPr>
        <w:t>日    期：XXX年XXX月XXX日</w:t>
      </w:r>
    </w:p>
    <w:p>
      <w:pPr>
        <w:pStyle w:val="4"/>
        <w:spacing w:line="360" w:lineRule="auto"/>
        <w:rPr>
          <w:highlight w:val="none"/>
        </w:rPr>
      </w:pPr>
      <w:r>
        <w:rPr>
          <w:rFonts w:ascii="宋体" w:hAnsi="宋体"/>
          <w:sz w:val="24"/>
          <w:highlight w:val="none"/>
          <w:lang w:val="en-US"/>
        </w:rPr>
        <w:br w:type="page"/>
      </w:r>
      <w:bookmarkStart w:id="161" w:name="_Toc96702578"/>
      <w:r>
        <w:rPr>
          <w:rFonts w:hint="eastAsia"/>
          <w:highlight w:val="none"/>
        </w:rPr>
        <w:t>五、</w:t>
      </w:r>
      <w:bookmarkEnd w:id="161"/>
      <w:r>
        <w:rPr>
          <w:rFonts w:hint="eastAsia"/>
          <w:highlight w:val="none"/>
        </w:rPr>
        <w:t>报价一览表</w:t>
      </w:r>
    </w:p>
    <w:p>
      <w:pPr>
        <w:spacing w:line="360" w:lineRule="auto"/>
        <w:jc w:val="center"/>
        <w:rPr>
          <w:b/>
          <w:highlight w:val="none"/>
        </w:rPr>
      </w:pPr>
      <w:r>
        <w:rPr>
          <w:rFonts w:hint="eastAsia"/>
          <w:b/>
          <w:highlight w:val="none"/>
        </w:rPr>
        <w:t>（一）报价一览表（第一次报价）</w:t>
      </w:r>
    </w:p>
    <w:tbl>
      <w:tblPr>
        <w:tblStyle w:val="43"/>
        <w:tblW w:w="946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4"/>
        <w:gridCol w:w="1800"/>
        <w:gridCol w:w="1276"/>
        <w:gridCol w:w="1276"/>
        <w:gridCol w:w="1275"/>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8" w:type="dxa"/>
            <w:vAlign w:val="center"/>
          </w:tcPr>
          <w:p>
            <w:pPr>
              <w:spacing w:line="360" w:lineRule="auto"/>
              <w:jc w:val="center"/>
              <w:rPr>
                <w:highlight w:val="none"/>
              </w:rPr>
            </w:pPr>
            <w:r>
              <w:rPr>
                <w:rFonts w:hint="eastAsia"/>
                <w:highlight w:val="none"/>
              </w:rPr>
              <w:t>序号</w:t>
            </w:r>
          </w:p>
        </w:tc>
        <w:tc>
          <w:tcPr>
            <w:tcW w:w="1284" w:type="dxa"/>
            <w:vAlign w:val="center"/>
          </w:tcPr>
          <w:p>
            <w:pPr>
              <w:spacing w:line="360" w:lineRule="auto"/>
              <w:jc w:val="center"/>
              <w:rPr>
                <w:highlight w:val="none"/>
              </w:rPr>
            </w:pPr>
            <w:r>
              <w:rPr>
                <w:rFonts w:hint="eastAsia"/>
                <w:highlight w:val="none"/>
              </w:rPr>
              <w:t>项目名称</w:t>
            </w:r>
          </w:p>
        </w:tc>
        <w:tc>
          <w:tcPr>
            <w:tcW w:w="1800" w:type="dxa"/>
            <w:vAlign w:val="center"/>
          </w:tcPr>
          <w:p>
            <w:pPr>
              <w:spacing w:line="360" w:lineRule="auto"/>
              <w:jc w:val="center"/>
              <w:rPr>
                <w:highlight w:val="none"/>
              </w:rPr>
            </w:pPr>
            <w:r>
              <w:rPr>
                <w:rFonts w:hint="eastAsia"/>
                <w:highlight w:val="none"/>
              </w:rPr>
              <w:t>制造商家及规格型号</w:t>
            </w:r>
          </w:p>
        </w:tc>
        <w:tc>
          <w:tcPr>
            <w:tcW w:w="1276" w:type="dxa"/>
            <w:vAlign w:val="center"/>
          </w:tcPr>
          <w:p>
            <w:pPr>
              <w:spacing w:line="360" w:lineRule="auto"/>
              <w:rPr>
                <w:highlight w:val="none"/>
              </w:rPr>
            </w:pPr>
            <w:r>
              <w:rPr>
                <w:rFonts w:hint="eastAsia"/>
                <w:highlight w:val="none"/>
              </w:rPr>
              <w:t>数量</w:t>
            </w:r>
          </w:p>
        </w:tc>
        <w:tc>
          <w:tcPr>
            <w:tcW w:w="1276" w:type="dxa"/>
            <w:vAlign w:val="center"/>
          </w:tcPr>
          <w:p>
            <w:pPr>
              <w:spacing w:line="360" w:lineRule="auto"/>
              <w:rPr>
                <w:highlight w:val="none"/>
              </w:rPr>
            </w:pPr>
            <w:r>
              <w:rPr>
                <w:rFonts w:hint="eastAsia"/>
                <w:highlight w:val="none"/>
              </w:rPr>
              <w:t>综合单价（元）</w:t>
            </w:r>
          </w:p>
        </w:tc>
        <w:tc>
          <w:tcPr>
            <w:tcW w:w="1275" w:type="dxa"/>
            <w:vAlign w:val="center"/>
          </w:tcPr>
          <w:p>
            <w:pPr>
              <w:spacing w:line="360" w:lineRule="auto"/>
              <w:jc w:val="center"/>
              <w:rPr>
                <w:highlight w:val="none"/>
              </w:rPr>
            </w:pPr>
            <w:r>
              <w:rPr>
                <w:rFonts w:hint="eastAsia"/>
                <w:highlight w:val="none"/>
              </w:rPr>
              <w:t>总价</w:t>
            </w:r>
          </w:p>
          <w:p>
            <w:pPr>
              <w:spacing w:line="360" w:lineRule="auto"/>
              <w:rPr>
                <w:highlight w:val="none"/>
              </w:rPr>
            </w:pPr>
            <w:r>
              <w:rPr>
                <w:rFonts w:hint="eastAsia"/>
                <w:highlight w:val="none"/>
              </w:rPr>
              <w:t>（元）</w:t>
            </w:r>
          </w:p>
        </w:tc>
        <w:tc>
          <w:tcPr>
            <w:tcW w:w="1134" w:type="dxa"/>
          </w:tcPr>
          <w:p>
            <w:pPr>
              <w:spacing w:line="360" w:lineRule="auto"/>
              <w:jc w:val="center"/>
              <w:rPr>
                <w:highlight w:val="none"/>
              </w:rPr>
            </w:pPr>
            <w:r>
              <w:rPr>
                <w:rFonts w:hint="eastAsia"/>
                <w:highlight w:val="none"/>
              </w:rPr>
              <w:t>交货时间</w:t>
            </w:r>
          </w:p>
        </w:tc>
        <w:tc>
          <w:tcPr>
            <w:tcW w:w="851" w:type="dxa"/>
            <w:vAlign w:val="center"/>
          </w:tcPr>
          <w:p>
            <w:pPr>
              <w:spacing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8" w:type="dxa"/>
          </w:tcPr>
          <w:p>
            <w:pPr>
              <w:spacing w:line="360" w:lineRule="auto"/>
              <w:jc w:val="center"/>
              <w:rPr>
                <w:highlight w:val="none"/>
              </w:rPr>
            </w:pPr>
          </w:p>
        </w:tc>
        <w:tc>
          <w:tcPr>
            <w:tcW w:w="1284" w:type="dxa"/>
            <w:vAlign w:val="center"/>
          </w:tcPr>
          <w:p>
            <w:pPr>
              <w:spacing w:line="360" w:lineRule="auto"/>
              <w:jc w:val="center"/>
              <w:rPr>
                <w:highlight w:val="none"/>
              </w:rPr>
            </w:pPr>
          </w:p>
        </w:tc>
        <w:tc>
          <w:tcPr>
            <w:tcW w:w="1800" w:type="dxa"/>
            <w:vAlign w:val="center"/>
          </w:tcPr>
          <w:p>
            <w:pPr>
              <w:spacing w:line="360" w:lineRule="auto"/>
              <w:jc w:val="center"/>
              <w:rPr>
                <w:highlight w:val="none"/>
              </w:rPr>
            </w:pPr>
          </w:p>
        </w:tc>
        <w:tc>
          <w:tcPr>
            <w:tcW w:w="1276" w:type="dxa"/>
            <w:vAlign w:val="center"/>
          </w:tcPr>
          <w:p>
            <w:pPr>
              <w:spacing w:line="360" w:lineRule="auto"/>
              <w:jc w:val="center"/>
              <w:rPr>
                <w:highlight w:val="none"/>
              </w:rPr>
            </w:pPr>
          </w:p>
        </w:tc>
        <w:tc>
          <w:tcPr>
            <w:tcW w:w="1276" w:type="dxa"/>
            <w:vAlign w:val="center"/>
          </w:tcPr>
          <w:p>
            <w:pPr>
              <w:spacing w:line="360" w:lineRule="auto"/>
              <w:jc w:val="center"/>
              <w:rPr>
                <w:highlight w:val="none"/>
              </w:rPr>
            </w:pPr>
          </w:p>
        </w:tc>
        <w:tc>
          <w:tcPr>
            <w:tcW w:w="1275" w:type="dxa"/>
            <w:vAlign w:val="center"/>
          </w:tcPr>
          <w:p>
            <w:pPr>
              <w:spacing w:line="360" w:lineRule="auto"/>
              <w:jc w:val="center"/>
              <w:rPr>
                <w:highlight w:val="none"/>
              </w:rPr>
            </w:pPr>
          </w:p>
        </w:tc>
        <w:tc>
          <w:tcPr>
            <w:tcW w:w="1134" w:type="dxa"/>
          </w:tcPr>
          <w:p>
            <w:pPr>
              <w:spacing w:line="360" w:lineRule="auto"/>
              <w:jc w:val="center"/>
              <w:rPr>
                <w:highlight w:val="none"/>
              </w:rPr>
            </w:pPr>
          </w:p>
        </w:tc>
        <w:tc>
          <w:tcPr>
            <w:tcW w:w="851"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8" w:type="dxa"/>
          </w:tcPr>
          <w:p>
            <w:pPr>
              <w:spacing w:line="360" w:lineRule="auto"/>
              <w:jc w:val="center"/>
              <w:rPr>
                <w:highlight w:val="none"/>
              </w:rPr>
            </w:pPr>
          </w:p>
        </w:tc>
        <w:tc>
          <w:tcPr>
            <w:tcW w:w="1284" w:type="dxa"/>
            <w:vAlign w:val="center"/>
          </w:tcPr>
          <w:p>
            <w:pPr>
              <w:spacing w:line="360" w:lineRule="auto"/>
              <w:jc w:val="center"/>
              <w:rPr>
                <w:highlight w:val="none"/>
              </w:rPr>
            </w:pPr>
          </w:p>
        </w:tc>
        <w:tc>
          <w:tcPr>
            <w:tcW w:w="1800" w:type="dxa"/>
            <w:vAlign w:val="center"/>
          </w:tcPr>
          <w:p>
            <w:pPr>
              <w:spacing w:line="360" w:lineRule="auto"/>
              <w:jc w:val="center"/>
              <w:rPr>
                <w:highlight w:val="none"/>
              </w:rPr>
            </w:pPr>
          </w:p>
        </w:tc>
        <w:tc>
          <w:tcPr>
            <w:tcW w:w="1276" w:type="dxa"/>
            <w:vAlign w:val="center"/>
          </w:tcPr>
          <w:p>
            <w:pPr>
              <w:spacing w:line="360" w:lineRule="auto"/>
              <w:jc w:val="center"/>
              <w:rPr>
                <w:highlight w:val="none"/>
              </w:rPr>
            </w:pPr>
          </w:p>
        </w:tc>
        <w:tc>
          <w:tcPr>
            <w:tcW w:w="1276" w:type="dxa"/>
            <w:vAlign w:val="center"/>
          </w:tcPr>
          <w:p>
            <w:pPr>
              <w:spacing w:line="360" w:lineRule="auto"/>
              <w:jc w:val="center"/>
              <w:rPr>
                <w:highlight w:val="none"/>
              </w:rPr>
            </w:pPr>
          </w:p>
        </w:tc>
        <w:tc>
          <w:tcPr>
            <w:tcW w:w="1275" w:type="dxa"/>
            <w:vAlign w:val="center"/>
          </w:tcPr>
          <w:p>
            <w:pPr>
              <w:spacing w:line="360" w:lineRule="auto"/>
              <w:jc w:val="center"/>
              <w:rPr>
                <w:highlight w:val="none"/>
              </w:rPr>
            </w:pPr>
          </w:p>
        </w:tc>
        <w:tc>
          <w:tcPr>
            <w:tcW w:w="1134" w:type="dxa"/>
          </w:tcPr>
          <w:p>
            <w:pPr>
              <w:spacing w:line="360" w:lineRule="auto"/>
              <w:jc w:val="center"/>
              <w:rPr>
                <w:highlight w:val="none"/>
              </w:rPr>
            </w:pPr>
          </w:p>
        </w:tc>
        <w:tc>
          <w:tcPr>
            <w:tcW w:w="851"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8" w:type="dxa"/>
          </w:tcPr>
          <w:p>
            <w:pPr>
              <w:spacing w:line="360" w:lineRule="auto"/>
              <w:jc w:val="center"/>
              <w:rPr>
                <w:highlight w:val="none"/>
              </w:rPr>
            </w:pPr>
          </w:p>
        </w:tc>
        <w:tc>
          <w:tcPr>
            <w:tcW w:w="1284" w:type="dxa"/>
            <w:vAlign w:val="center"/>
          </w:tcPr>
          <w:p>
            <w:pPr>
              <w:spacing w:line="360" w:lineRule="auto"/>
              <w:jc w:val="center"/>
              <w:rPr>
                <w:highlight w:val="none"/>
              </w:rPr>
            </w:pPr>
          </w:p>
        </w:tc>
        <w:tc>
          <w:tcPr>
            <w:tcW w:w="1800" w:type="dxa"/>
            <w:vAlign w:val="center"/>
          </w:tcPr>
          <w:p>
            <w:pPr>
              <w:spacing w:line="360" w:lineRule="auto"/>
              <w:jc w:val="center"/>
              <w:rPr>
                <w:highlight w:val="none"/>
              </w:rPr>
            </w:pPr>
          </w:p>
        </w:tc>
        <w:tc>
          <w:tcPr>
            <w:tcW w:w="1276" w:type="dxa"/>
            <w:vAlign w:val="center"/>
          </w:tcPr>
          <w:p>
            <w:pPr>
              <w:spacing w:line="360" w:lineRule="auto"/>
              <w:jc w:val="center"/>
              <w:rPr>
                <w:highlight w:val="none"/>
              </w:rPr>
            </w:pPr>
          </w:p>
        </w:tc>
        <w:tc>
          <w:tcPr>
            <w:tcW w:w="1276" w:type="dxa"/>
            <w:vAlign w:val="center"/>
          </w:tcPr>
          <w:p>
            <w:pPr>
              <w:spacing w:line="360" w:lineRule="auto"/>
              <w:jc w:val="center"/>
              <w:rPr>
                <w:highlight w:val="none"/>
              </w:rPr>
            </w:pPr>
          </w:p>
        </w:tc>
        <w:tc>
          <w:tcPr>
            <w:tcW w:w="1275" w:type="dxa"/>
            <w:vAlign w:val="center"/>
          </w:tcPr>
          <w:p>
            <w:pPr>
              <w:spacing w:line="360" w:lineRule="auto"/>
              <w:jc w:val="center"/>
              <w:rPr>
                <w:highlight w:val="none"/>
              </w:rPr>
            </w:pPr>
          </w:p>
        </w:tc>
        <w:tc>
          <w:tcPr>
            <w:tcW w:w="1134" w:type="dxa"/>
          </w:tcPr>
          <w:p>
            <w:pPr>
              <w:spacing w:line="360" w:lineRule="auto"/>
              <w:jc w:val="center"/>
              <w:rPr>
                <w:highlight w:val="none"/>
              </w:rPr>
            </w:pPr>
          </w:p>
        </w:tc>
        <w:tc>
          <w:tcPr>
            <w:tcW w:w="851"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64" w:type="dxa"/>
            <w:gridSpan w:val="8"/>
          </w:tcPr>
          <w:p>
            <w:pPr>
              <w:spacing w:line="360" w:lineRule="auto"/>
              <w:ind w:firstLine="480" w:firstLineChars="200"/>
              <w:rPr>
                <w:highlight w:val="none"/>
              </w:rPr>
            </w:pPr>
            <w:r>
              <w:rPr>
                <w:rFonts w:hint="eastAsia"/>
                <w:highlight w:val="none"/>
              </w:rPr>
              <w:t>报价合计（万元）：大写：</w:t>
            </w:r>
          </w:p>
        </w:tc>
      </w:tr>
    </w:tbl>
    <w:p>
      <w:pPr>
        <w:spacing w:line="360" w:lineRule="auto"/>
        <w:jc w:val="center"/>
        <w:rPr>
          <w:sz w:val="32"/>
          <w:highlight w:val="none"/>
        </w:rPr>
      </w:pPr>
    </w:p>
    <w:p>
      <w:pPr>
        <w:adjustRightInd w:val="0"/>
        <w:spacing w:line="360" w:lineRule="auto"/>
        <w:ind w:firstLine="600" w:firstLineChars="250"/>
        <w:rPr>
          <w:highlight w:val="none"/>
        </w:rPr>
      </w:pPr>
      <w:r>
        <w:rPr>
          <w:rFonts w:hint="eastAsia"/>
          <w:highlight w:val="none"/>
        </w:rPr>
        <w:t>供应商名称：         （盖公章）</w:t>
      </w:r>
    </w:p>
    <w:p>
      <w:pPr>
        <w:spacing w:line="360" w:lineRule="auto"/>
        <w:ind w:firstLine="719" w:firstLineChars="257"/>
        <w:rPr>
          <w:sz w:val="28"/>
          <w:szCs w:val="28"/>
          <w:highlight w:val="none"/>
        </w:rPr>
      </w:pPr>
    </w:p>
    <w:p>
      <w:pPr>
        <w:spacing w:line="360" w:lineRule="auto"/>
        <w:ind w:firstLine="616" w:firstLineChars="257"/>
        <w:rPr>
          <w:highlight w:val="none"/>
        </w:rPr>
      </w:pPr>
      <w:r>
        <w:rPr>
          <w:rFonts w:hint="eastAsia"/>
          <w:highlight w:val="none"/>
        </w:rPr>
        <w:t>法定代表人授权代表（签字或加盖个人名章）：</w:t>
      </w:r>
    </w:p>
    <w:p>
      <w:pPr>
        <w:spacing w:line="360" w:lineRule="auto"/>
        <w:ind w:firstLine="616" w:firstLineChars="257"/>
        <w:rPr>
          <w:highlight w:val="none"/>
        </w:rPr>
      </w:pPr>
    </w:p>
    <w:p>
      <w:pPr>
        <w:spacing w:line="360" w:lineRule="auto"/>
        <w:ind w:firstLine="480" w:firstLineChars="200"/>
        <w:rPr>
          <w:highlight w:val="none"/>
        </w:rPr>
      </w:pPr>
      <w:r>
        <w:rPr>
          <w:rFonts w:hint="eastAsia"/>
          <w:highlight w:val="none"/>
        </w:rPr>
        <w:t>日期：     年    月    日</w:t>
      </w:r>
    </w:p>
    <w:p>
      <w:pPr>
        <w:spacing w:line="360" w:lineRule="auto"/>
        <w:rPr>
          <w:highlight w:val="none"/>
        </w:rPr>
        <w:sectPr>
          <w:footerReference r:id="rId6" w:type="first"/>
          <w:headerReference r:id="rId3" w:type="default"/>
          <w:footerReference r:id="rId4" w:type="default"/>
          <w:footerReference r:id="rId5" w:type="even"/>
          <w:pgSz w:w="13607" w:h="16840"/>
          <w:pgMar w:top="1440" w:right="1800" w:bottom="1440" w:left="1800" w:header="851" w:footer="992" w:gutter="0"/>
          <w:pgNumType w:fmt="numberInDash"/>
          <w:cols w:space="720" w:num="1"/>
          <w:titlePg/>
          <w:docGrid w:type="linesAndChars" w:linePitch="312" w:charSpace="0"/>
        </w:sectPr>
      </w:pPr>
      <w:r>
        <w:rPr>
          <w:highlight w:val="none"/>
        </w:rPr>
        <w:br w:type="page"/>
      </w:r>
    </w:p>
    <w:p>
      <w:pPr>
        <w:pStyle w:val="4"/>
        <w:spacing w:line="360" w:lineRule="auto"/>
        <w:rPr>
          <w:highlight w:val="none"/>
        </w:rPr>
      </w:pPr>
      <w:r>
        <w:rPr>
          <w:rFonts w:hint="eastAsia"/>
          <w:highlight w:val="none"/>
        </w:rPr>
        <w:t>（二）报价明细表</w:t>
      </w:r>
    </w:p>
    <w:p>
      <w:pPr>
        <w:spacing w:line="360" w:lineRule="auto"/>
        <w:rPr>
          <w:color w:val="000000"/>
          <w:highlight w:val="none"/>
        </w:rPr>
      </w:pPr>
      <w:r>
        <w:rPr>
          <w:rFonts w:hint="eastAsia"/>
          <w:color w:val="000000"/>
          <w:highlight w:val="none"/>
        </w:rPr>
        <w:t>项目名称：</w:t>
      </w:r>
    </w:p>
    <w:tbl>
      <w:tblPr>
        <w:tblStyle w:val="43"/>
        <w:tblW w:w="10020" w:type="dxa"/>
        <w:tblInd w:w="-407" w:type="dxa"/>
        <w:tblLayout w:type="autofit"/>
        <w:tblCellMar>
          <w:top w:w="0" w:type="dxa"/>
          <w:left w:w="108" w:type="dxa"/>
          <w:bottom w:w="0" w:type="dxa"/>
          <w:right w:w="108" w:type="dxa"/>
        </w:tblCellMar>
      </w:tblPr>
      <w:tblGrid>
        <w:gridCol w:w="1080"/>
        <w:gridCol w:w="2240"/>
        <w:gridCol w:w="2380"/>
        <w:gridCol w:w="1080"/>
        <w:gridCol w:w="1080"/>
        <w:gridCol w:w="1080"/>
        <w:gridCol w:w="1080"/>
      </w:tblGrid>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序号</w:t>
            </w:r>
          </w:p>
        </w:tc>
        <w:tc>
          <w:tcPr>
            <w:tcW w:w="2240" w:type="dxa"/>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项目名称</w:t>
            </w:r>
          </w:p>
        </w:tc>
        <w:tc>
          <w:tcPr>
            <w:tcW w:w="2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选用设备设施名称型号规格</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报价（元）</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备   注</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水箱</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食品级304不锈钢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个</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水泵</w:t>
            </w:r>
          </w:p>
        </w:tc>
        <w:tc>
          <w:tcPr>
            <w:tcW w:w="2380" w:type="dxa"/>
            <w:tcBorders>
              <w:top w:val="nil"/>
              <w:left w:val="nil"/>
              <w:bottom w:val="single" w:color="auto" w:sz="4" w:space="0"/>
              <w:right w:val="single" w:color="auto" w:sz="4" w:space="0"/>
            </w:tcBorders>
            <w:shd w:val="clear" w:color="000000" w:fill="FFFF00"/>
            <w:vAlign w:val="center"/>
          </w:tcPr>
          <w:p>
            <w:pPr>
              <w:rPr>
                <w:rFonts w:hint="eastAsia"/>
                <w:color w:val="000000"/>
                <w:sz w:val="20"/>
                <w:szCs w:val="20"/>
                <w:highlight w:val="none"/>
              </w:rPr>
            </w:pPr>
            <w:r>
              <w:rPr>
                <w:rFonts w:hint="eastAsia"/>
                <w:color w:val="000000"/>
                <w:sz w:val="20"/>
                <w:szCs w:val="20"/>
                <w:highlight w:val="none"/>
                <w:lang w:val="en-US" w:eastAsia="zh-CN"/>
              </w:rPr>
              <w:t>中区：</w:t>
            </w:r>
            <w:r>
              <w:rPr>
                <w:rFonts w:hint="eastAsia"/>
                <w:color w:val="000000"/>
                <w:sz w:val="20"/>
                <w:szCs w:val="20"/>
                <w:highlight w:val="none"/>
              </w:rPr>
              <w:t xml:space="preserve">Q=66m3/h  H=80m  N=33KW   </w:t>
            </w:r>
          </w:p>
          <w:p>
            <w:pPr>
              <w:rPr>
                <w:rFonts w:hint="eastAsia" w:eastAsia="宋体"/>
                <w:color w:val="000000"/>
                <w:sz w:val="20"/>
                <w:szCs w:val="20"/>
                <w:highlight w:val="none"/>
                <w:lang w:val="en-US" w:eastAsia="zh-CN"/>
              </w:rPr>
            </w:pPr>
            <w:r>
              <w:rPr>
                <w:rFonts w:hint="eastAsia"/>
                <w:color w:val="000000"/>
                <w:sz w:val="20"/>
                <w:szCs w:val="20"/>
                <w:highlight w:val="none"/>
                <w:lang w:val="en-US" w:eastAsia="zh-CN"/>
              </w:rPr>
              <w:t xml:space="preserve">高区：Q=63m3/h  H=118m  N=33KW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三用一备</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3</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紫外线消毒设备</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反渗透纯化水处理无菌水箱紫外线消毒器304 316不锈钢仪 LK-UV150T</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5</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6</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泵房装修</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装修等等按标准泵房打的所有内容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7</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安防监控摄像</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存储时间1个月</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含支架等配件</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8</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13年运维服务</w:t>
            </w:r>
          </w:p>
        </w:tc>
        <w:tc>
          <w:tcPr>
            <w:tcW w:w="2380" w:type="dxa"/>
            <w:tcBorders>
              <w:top w:val="nil"/>
              <w:left w:val="nil"/>
              <w:bottom w:val="nil"/>
              <w:right w:val="nil"/>
            </w:tcBorders>
            <w:shd w:val="clear" w:color="auto" w:fill="auto"/>
            <w:noWrap/>
            <w:vAlign w:val="bottom"/>
          </w:tcPr>
          <w:p>
            <w:pPr>
              <w:rPr>
                <w:rFonts w:hint="eastAsia"/>
                <w:color w:val="000000"/>
                <w:sz w:val="20"/>
                <w:szCs w:val="20"/>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合计</w:t>
            </w:r>
          </w:p>
        </w:tc>
        <w:tc>
          <w:tcPr>
            <w:tcW w:w="8940" w:type="dxa"/>
            <w:gridSpan w:val="6"/>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序号</w:t>
            </w:r>
          </w:p>
        </w:tc>
        <w:tc>
          <w:tcPr>
            <w:tcW w:w="2240" w:type="dxa"/>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项目名称</w:t>
            </w:r>
          </w:p>
        </w:tc>
        <w:tc>
          <w:tcPr>
            <w:tcW w:w="2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选用设备设施名称型号规格</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报价（元）</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备   注</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水箱</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食品级304不锈钢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个</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水泵</w:t>
            </w:r>
          </w:p>
        </w:tc>
        <w:tc>
          <w:tcPr>
            <w:tcW w:w="2380" w:type="dxa"/>
            <w:tcBorders>
              <w:top w:val="nil"/>
              <w:left w:val="nil"/>
              <w:bottom w:val="single" w:color="auto" w:sz="4" w:space="0"/>
              <w:right w:val="single" w:color="auto" w:sz="4" w:space="0"/>
            </w:tcBorders>
            <w:shd w:val="clear" w:color="000000" w:fill="FFFF00"/>
            <w:vAlign w:val="center"/>
          </w:tcPr>
          <w:p>
            <w:pPr>
              <w:rPr>
                <w:rFonts w:hint="eastAsia"/>
                <w:color w:val="000000"/>
                <w:sz w:val="20"/>
                <w:szCs w:val="20"/>
                <w:highlight w:val="none"/>
              </w:rPr>
            </w:pPr>
            <w:r>
              <w:rPr>
                <w:rFonts w:hint="eastAsia"/>
                <w:color w:val="000000"/>
                <w:sz w:val="20"/>
                <w:szCs w:val="20"/>
                <w:highlight w:val="none"/>
              </w:rPr>
              <w:t>添加水泵基本参数：流量、扬程、功率</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三用一备</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3</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紫外线消毒设备</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添加消毒设备基本参数</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5</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6</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泵房装修</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装修等等按标准泵房打的所有内容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7</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安防监控摄像</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存储时间1个月</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含支架等配件</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8</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13年运维服务</w:t>
            </w:r>
          </w:p>
        </w:tc>
        <w:tc>
          <w:tcPr>
            <w:tcW w:w="2380" w:type="dxa"/>
            <w:tcBorders>
              <w:top w:val="nil"/>
              <w:left w:val="nil"/>
              <w:bottom w:val="nil"/>
              <w:right w:val="nil"/>
            </w:tcBorders>
            <w:shd w:val="clear" w:color="auto" w:fill="auto"/>
            <w:noWrap/>
            <w:vAlign w:val="bottom"/>
          </w:tcPr>
          <w:p>
            <w:pPr>
              <w:rPr>
                <w:rFonts w:hint="eastAsia"/>
                <w:color w:val="000000"/>
                <w:sz w:val="20"/>
                <w:szCs w:val="20"/>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合计</w:t>
            </w:r>
          </w:p>
        </w:tc>
        <w:tc>
          <w:tcPr>
            <w:tcW w:w="8940" w:type="dxa"/>
            <w:gridSpan w:val="6"/>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bl>
    <w:p>
      <w:pPr>
        <w:rPr>
          <w:highlight w:val="none"/>
        </w:rPr>
      </w:pPr>
    </w:p>
    <w:p>
      <w:pPr>
        <w:rPr>
          <w:bCs/>
          <w:color w:val="000000"/>
          <w:highlight w:val="none"/>
        </w:rPr>
      </w:pPr>
      <w:r>
        <w:rPr>
          <w:rFonts w:hint="eastAsia"/>
          <w:highlight w:val="none"/>
        </w:rPr>
        <w:t>注：1、供应商必须按“</w:t>
      </w:r>
      <w:r>
        <w:rPr>
          <w:rFonts w:hint="eastAsia"/>
          <w:bCs/>
          <w:highlight w:val="none"/>
        </w:rPr>
        <w:t>报价明细表”的格式</w:t>
      </w:r>
      <w:r>
        <w:rPr>
          <w:rFonts w:hint="eastAsia"/>
          <w:highlight w:val="none"/>
        </w:rPr>
        <w:t>详细报出本项目总价的各个组成部分的报价，报价包含设备、主材、辅助材、运费、施工安装、调试、税费等所有费用，否则作无效响应处理。</w:t>
      </w:r>
    </w:p>
    <w:p>
      <w:pPr>
        <w:rPr>
          <w:bCs/>
          <w:color w:val="000000"/>
          <w:highlight w:val="none"/>
        </w:rPr>
      </w:pPr>
      <w:r>
        <w:rPr>
          <w:rFonts w:hint="eastAsia"/>
          <w:b/>
          <w:bCs/>
          <w:color w:val="000000"/>
          <w:highlight w:val="none"/>
        </w:rPr>
        <w:t xml:space="preserve">   </w:t>
      </w:r>
      <w:r>
        <w:rPr>
          <w:rFonts w:hint="eastAsia"/>
          <w:bCs/>
          <w:color w:val="000000"/>
          <w:highlight w:val="none"/>
        </w:rPr>
        <w:t xml:space="preserve"> 2、</w:t>
      </w:r>
      <w:r>
        <w:rPr>
          <w:rFonts w:hint="eastAsia"/>
          <w:highlight w:val="none"/>
        </w:rPr>
        <w:t>“</w:t>
      </w:r>
      <w:r>
        <w:rPr>
          <w:rFonts w:hint="eastAsia"/>
          <w:bCs/>
          <w:highlight w:val="none"/>
        </w:rPr>
        <w:t>报价明细表”各分项报价合计应当与“报价一览表”报价合计相等。</w:t>
      </w:r>
    </w:p>
    <w:p>
      <w:pPr>
        <w:rPr>
          <w:highlight w:val="none"/>
        </w:rPr>
      </w:pPr>
    </w:p>
    <w:p>
      <w:pPr>
        <w:rPr>
          <w:highlight w:val="none"/>
        </w:rPr>
      </w:pPr>
      <w:r>
        <w:rPr>
          <w:rFonts w:hint="eastAsia"/>
          <w:highlight w:val="none"/>
        </w:rPr>
        <w:t>供应商名称：</w:t>
      </w:r>
      <w:r>
        <w:rPr>
          <w:rFonts w:hint="eastAsia"/>
          <w:bCs/>
          <w:highlight w:val="none"/>
          <w:u w:val="single"/>
        </w:rPr>
        <w:t xml:space="preserve">                    </w:t>
      </w:r>
      <w:r>
        <w:rPr>
          <w:rFonts w:hint="eastAsia"/>
          <w:highlight w:val="none"/>
        </w:rPr>
        <w:t>（单位盖章）</w:t>
      </w:r>
    </w:p>
    <w:p>
      <w:pPr>
        <w:rPr>
          <w:highlight w:val="none"/>
        </w:rPr>
      </w:pPr>
      <w:r>
        <w:rPr>
          <w:rFonts w:hint="eastAsia"/>
          <w:highlight w:val="none"/>
        </w:rPr>
        <w:t>法定代表人（负责人、经营者)或授权代表（签字或加盖个人名章）：</w:t>
      </w:r>
      <w:r>
        <w:rPr>
          <w:rFonts w:hint="eastAsia"/>
          <w:bCs/>
          <w:highlight w:val="none"/>
          <w:u w:val="single"/>
        </w:rPr>
        <w:t xml:space="preserve">                    </w:t>
      </w:r>
      <w:r>
        <w:rPr>
          <w:rFonts w:hint="eastAsia"/>
          <w:highlight w:val="none"/>
        </w:rPr>
        <w:t>。</w:t>
      </w:r>
    </w:p>
    <w:p>
      <w:pPr>
        <w:rPr>
          <w:highlight w:val="none"/>
        </w:rPr>
        <w:sectPr>
          <w:footerReference r:id="rId9" w:type="first"/>
          <w:headerReference r:id="rId7" w:type="default"/>
          <w:footerReference r:id="rId8" w:type="default"/>
          <w:pgSz w:w="13607" w:h="16840"/>
          <w:pgMar w:top="1440" w:right="1797" w:bottom="1440" w:left="1797" w:header="851" w:footer="992" w:gutter="0"/>
          <w:pgNumType w:fmt="numberInDash"/>
          <w:cols w:space="720" w:num="1"/>
          <w:titlePg/>
          <w:docGrid w:linePitch="312" w:charSpace="0"/>
        </w:sectPr>
      </w:pPr>
      <w:r>
        <w:rPr>
          <w:rFonts w:hint="eastAsia"/>
          <w:bCs/>
          <w:highlight w:val="none"/>
        </w:rPr>
        <w:t>投标日期:</w:t>
      </w:r>
      <w:r>
        <w:rPr>
          <w:rFonts w:hint="eastAsia"/>
          <w:bCs/>
          <w:highlight w:val="none"/>
          <w:u w:val="single"/>
        </w:rPr>
        <w:t xml:space="preserve">     </w:t>
      </w:r>
      <w:r>
        <w:rPr>
          <w:rFonts w:hint="eastAsia"/>
          <w:bCs/>
          <w:highlight w:val="none"/>
        </w:rPr>
        <w:t>年</w:t>
      </w:r>
      <w:r>
        <w:rPr>
          <w:rFonts w:hint="eastAsia"/>
          <w:bCs/>
          <w:highlight w:val="none"/>
          <w:u w:val="single"/>
        </w:rPr>
        <w:t xml:space="preserve">   </w:t>
      </w:r>
      <w:r>
        <w:rPr>
          <w:rFonts w:hint="eastAsia"/>
          <w:bCs/>
          <w:highlight w:val="none"/>
        </w:rPr>
        <w:t>月</w:t>
      </w:r>
      <w:r>
        <w:rPr>
          <w:rFonts w:hint="eastAsia"/>
          <w:bCs/>
          <w:highlight w:val="none"/>
          <w:u w:val="single"/>
        </w:rPr>
        <w:t xml:space="preserve">    </w:t>
      </w:r>
      <w:r>
        <w:rPr>
          <w:rFonts w:hint="eastAsia"/>
          <w:bCs/>
          <w:highlight w:val="none"/>
        </w:rPr>
        <w:t>日</w:t>
      </w:r>
    </w:p>
    <w:p>
      <w:pPr>
        <w:spacing w:line="360" w:lineRule="auto"/>
        <w:rPr>
          <w:highlight w:val="none"/>
        </w:rPr>
      </w:pPr>
      <w:bookmarkStart w:id="162" w:name="_Hlk92897664"/>
      <w:r>
        <w:rPr>
          <w:rFonts w:hint="eastAsia"/>
          <w:highlight w:val="none"/>
        </w:rPr>
        <w:t xml:space="preserve">  </w:t>
      </w:r>
    </w:p>
    <w:bookmarkEnd w:id="162"/>
    <w:p>
      <w:pPr>
        <w:spacing w:line="360" w:lineRule="auto"/>
        <w:rPr>
          <w:color w:val="000000"/>
          <w:sz w:val="36"/>
          <w:szCs w:val="36"/>
          <w:highlight w:val="none"/>
        </w:rPr>
        <w:sectPr>
          <w:pgSz w:w="13607" w:h="16840"/>
          <w:pgMar w:top="1440" w:right="1797" w:bottom="1440" w:left="1797" w:header="851" w:footer="992" w:gutter="0"/>
          <w:pgNumType w:fmt="numberInDash"/>
          <w:cols w:space="720" w:num="1"/>
          <w:titlePg/>
          <w:docGrid w:linePitch="312" w:charSpace="0"/>
        </w:sectPr>
      </w:pPr>
    </w:p>
    <w:p>
      <w:pPr>
        <w:pStyle w:val="4"/>
        <w:spacing w:line="360" w:lineRule="auto"/>
        <w:rPr>
          <w:highlight w:val="none"/>
        </w:rPr>
      </w:pPr>
      <w:bookmarkStart w:id="163" w:name="_Toc96702579"/>
      <w:r>
        <w:rPr>
          <w:rFonts w:hint="eastAsia"/>
          <w:highlight w:val="none"/>
        </w:rPr>
        <w:t>六、技术、服务要求应答表</w:t>
      </w:r>
      <w:bookmarkEnd w:id="163"/>
    </w:p>
    <w:p>
      <w:pPr>
        <w:pStyle w:val="29"/>
        <w:pBdr>
          <w:bottom w:val="none" w:color="auto" w:sz="0" w:space="0"/>
        </w:pBdr>
        <w:tabs>
          <w:tab w:val="clear" w:pos="4153"/>
          <w:tab w:val="clear" w:pos="8306"/>
        </w:tabs>
        <w:snapToGrid/>
        <w:spacing w:line="360" w:lineRule="auto"/>
        <w:ind w:left="2880"/>
        <w:jc w:val="both"/>
        <w:rPr>
          <w:rFonts w:ascii="宋体" w:hAnsi="宋体"/>
          <w:color w:val="000000"/>
          <w:sz w:val="24"/>
          <w:szCs w:val="24"/>
          <w:highlight w:val="none"/>
        </w:rPr>
      </w:pPr>
    </w:p>
    <w:p>
      <w:pPr>
        <w:pStyle w:val="29"/>
        <w:pBdr>
          <w:bottom w:val="none" w:color="auto" w:sz="0" w:space="0"/>
        </w:pBdr>
        <w:tabs>
          <w:tab w:val="clear" w:pos="4153"/>
          <w:tab w:val="clear" w:pos="8306"/>
        </w:tabs>
        <w:snapToGrid/>
        <w:spacing w:line="360" w:lineRule="auto"/>
        <w:ind w:left="2880"/>
        <w:jc w:val="both"/>
        <w:rPr>
          <w:rFonts w:ascii="宋体" w:hAnsi="宋体"/>
          <w:color w:val="000000"/>
          <w:sz w:val="24"/>
          <w:szCs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74"/>
        <w:gridCol w:w="4016"/>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360" w:lineRule="auto"/>
              <w:jc w:val="center"/>
              <w:rPr>
                <w:color w:val="000000"/>
                <w:highlight w:val="none"/>
              </w:rPr>
            </w:pPr>
            <w:r>
              <w:rPr>
                <w:rFonts w:hint="eastAsia"/>
                <w:color w:val="000000"/>
                <w:highlight w:val="none"/>
              </w:rPr>
              <w:t>序号</w:t>
            </w:r>
          </w:p>
        </w:tc>
        <w:tc>
          <w:tcPr>
            <w:tcW w:w="1574" w:type="dxa"/>
            <w:vAlign w:val="center"/>
          </w:tcPr>
          <w:p>
            <w:pPr>
              <w:spacing w:line="360" w:lineRule="auto"/>
              <w:jc w:val="center"/>
              <w:rPr>
                <w:color w:val="000000"/>
                <w:highlight w:val="none"/>
              </w:rPr>
            </w:pPr>
            <w:r>
              <w:rPr>
                <w:rFonts w:hint="eastAsia"/>
                <w:color w:val="000000"/>
                <w:highlight w:val="none"/>
              </w:rPr>
              <w:t>包号</w:t>
            </w:r>
          </w:p>
        </w:tc>
        <w:tc>
          <w:tcPr>
            <w:tcW w:w="4016" w:type="dxa"/>
            <w:vAlign w:val="center"/>
          </w:tcPr>
          <w:p>
            <w:pPr>
              <w:spacing w:line="360" w:lineRule="auto"/>
              <w:jc w:val="center"/>
              <w:rPr>
                <w:color w:val="000000"/>
                <w:highlight w:val="none"/>
              </w:rPr>
            </w:pPr>
            <w:r>
              <w:rPr>
                <w:rFonts w:hint="eastAsia"/>
                <w:color w:val="000000"/>
                <w:highlight w:val="none"/>
              </w:rPr>
              <w:t>采购文件要求</w:t>
            </w:r>
          </w:p>
        </w:tc>
        <w:tc>
          <w:tcPr>
            <w:tcW w:w="2795" w:type="dxa"/>
            <w:vAlign w:val="center"/>
          </w:tcPr>
          <w:p>
            <w:pPr>
              <w:spacing w:line="360" w:lineRule="auto"/>
              <w:jc w:val="center"/>
              <w:rPr>
                <w:color w:val="000000"/>
                <w:highlight w:val="none"/>
              </w:rPr>
            </w:pPr>
            <w:r>
              <w:rPr>
                <w:rFonts w:hint="eastAsia"/>
                <w:color w:val="000000"/>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574" w:type="dxa"/>
          </w:tcPr>
          <w:p>
            <w:pPr>
              <w:spacing w:line="360" w:lineRule="auto"/>
              <w:jc w:val="center"/>
              <w:rPr>
                <w:color w:val="000000"/>
                <w:highlight w:val="none"/>
              </w:rPr>
            </w:pPr>
          </w:p>
        </w:tc>
        <w:tc>
          <w:tcPr>
            <w:tcW w:w="4016"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574" w:type="dxa"/>
          </w:tcPr>
          <w:p>
            <w:pPr>
              <w:spacing w:line="360" w:lineRule="auto"/>
              <w:jc w:val="center"/>
              <w:rPr>
                <w:color w:val="000000"/>
                <w:highlight w:val="none"/>
              </w:rPr>
            </w:pPr>
          </w:p>
        </w:tc>
        <w:tc>
          <w:tcPr>
            <w:tcW w:w="4016"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574" w:type="dxa"/>
          </w:tcPr>
          <w:p>
            <w:pPr>
              <w:spacing w:line="360" w:lineRule="auto"/>
              <w:jc w:val="center"/>
              <w:rPr>
                <w:color w:val="000000"/>
                <w:highlight w:val="none"/>
              </w:rPr>
            </w:pPr>
          </w:p>
        </w:tc>
        <w:tc>
          <w:tcPr>
            <w:tcW w:w="4016"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574" w:type="dxa"/>
          </w:tcPr>
          <w:p>
            <w:pPr>
              <w:spacing w:line="360" w:lineRule="auto"/>
              <w:jc w:val="center"/>
              <w:rPr>
                <w:color w:val="000000"/>
                <w:highlight w:val="none"/>
              </w:rPr>
            </w:pPr>
          </w:p>
        </w:tc>
        <w:tc>
          <w:tcPr>
            <w:tcW w:w="4016"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bl>
    <w:p>
      <w:pPr>
        <w:spacing w:line="360" w:lineRule="auto"/>
        <w:ind w:firstLine="482" w:firstLineChars="200"/>
        <w:rPr>
          <w:b/>
          <w:color w:val="000000"/>
          <w:highlight w:val="none"/>
        </w:rPr>
      </w:pPr>
    </w:p>
    <w:p>
      <w:pPr>
        <w:spacing w:line="360" w:lineRule="auto"/>
        <w:ind w:firstLine="480" w:firstLineChars="200"/>
        <w:rPr>
          <w:color w:val="000000"/>
          <w:highlight w:val="none"/>
        </w:rPr>
      </w:pPr>
      <w:r>
        <w:rPr>
          <w:rFonts w:hint="eastAsia"/>
          <w:color w:val="000000"/>
          <w:highlight w:val="none"/>
        </w:rPr>
        <w:t>注：供应商必须根据谈判文件要求据实逐条填写，不得虚假响应，虚假响应的，其响应文件无效并按规定追究其相关责任，</w:t>
      </w:r>
      <w:r>
        <w:rPr>
          <w:rFonts w:hint="eastAsia"/>
          <w:highlight w:val="none"/>
        </w:rPr>
        <w:t>如与谈判文件要求无偏离（包括正偏离和负偏离），则无须应答。</w:t>
      </w:r>
    </w:p>
    <w:p>
      <w:pPr>
        <w:adjustRightInd w:val="0"/>
        <w:spacing w:line="360" w:lineRule="auto"/>
        <w:ind w:firstLine="480" w:firstLineChars="200"/>
        <w:rPr>
          <w:color w:val="000000"/>
          <w:highlight w:val="none"/>
        </w:rPr>
      </w:pPr>
      <w:r>
        <w:rPr>
          <w:rFonts w:hint="eastAsia"/>
          <w:color w:val="000000"/>
          <w:highlight w:val="none"/>
        </w:rPr>
        <w:t>供应商名称：XXX（盖单位公章）</w:t>
      </w:r>
    </w:p>
    <w:p>
      <w:pPr>
        <w:adjustRightInd w:val="0"/>
        <w:spacing w:line="360" w:lineRule="auto"/>
        <w:ind w:firstLine="480" w:firstLineChars="200"/>
        <w:rPr>
          <w:bCs/>
          <w:color w:val="000000"/>
          <w:highlight w:val="none"/>
        </w:rPr>
      </w:pPr>
      <w:r>
        <w:rPr>
          <w:rFonts w:hint="eastAsia"/>
          <w:bCs/>
          <w:color w:val="000000"/>
          <w:highlight w:val="none"/>
        </w:rPr>
        <w:t>法定代表人或授权代表（签字或盖章）：XXX</w:t>
      </w:r>
    </w:p>
    <w:p>
      <w:pPr>
        <w:adjustRightInd w:val="0"/>
        <w:spacing w:line="360" w:lineRule="auto"/>
        <w:ind w:firstLine="540" w:firstLineChars="225"/>
        <w:rPr>
          <w:bCs/>
          <w:color w:val="000000"/>
          <w:highlight w:val="none"/>
        </w:rPr>
      </w:pPr>
      <w:r>
        <w:rPr>
          <w:rFonts w:hint="eastAsia"/>
          <w:bCs/>
          <w:color w:val="000000"/>
          <w:highlight w:val="none"/>
        </w:rPr>
        <w:t>日  期</w:t>
      </w:r>
      <w:r>
        <w:rPr>
          <w:rFonts w:hint="eastAsia"/>
          <w:color w:val="000000"/>
          <w:highlight w:val="none"/>
        </w:rPr>
        <w:t>：</w:t>
      </w:r>
      <w:r>
        <w:rPr>
          <w:rFonts w:hint="eastAsia"/>
          <w:bCs/>
          <w:color w:val="000000"/>
          <w:highlight w:val="none"/>
        </w:rPr>
        <w:t>XXX年XXX月XXX日</w:t>
      </w: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pStyle w:val="26"/>
        <w:tabs>
          <w:tab w:val="left" w:pos="0"/>
        </w:tabs>
        <w:spacing w:after="0" w:line="360" w:lineRule="auto"/>
        <w:ind w:left="480"/>
        <w:rPr>
          <w:color w:val="000000"/>
          <w:highlight w:val="none"/>
          <w:lang w:val="en-US"/>
        </w:rPr>
      </w:pPr>
    </w:p>
    <w:p>
      <w:pPr>
        <w:pStyle w:val="26"/>
        <w:tabs>
          <w:tab w:val="left" w:pos="0"/>
        </w:tabs>
        <w:spacing w:line="360" w:lineRule="auto"/>
        <w:ind w:left="480"/>
        <w:rPr>
          <w:color w:val="000000"/>
          <w:highlight w:val="none"/>
          <w:lang w:val="en-US"/>
        </w:rPr>
      </w:pPr>
    </w:p>
    <w:p>
      <w:pPr>
        <w:pStyle w:val="26"/>
        <w:tabs>
          <w:tab w:val="left" w:pos="0"/>
        </w:tabs>
        <w:spacing w:line="360" w:lineRule="auto"/>
        <w:ind w:left="480"/>
        <w:rPr>
          <w:color w:val="000000"/>
          <w:highlight w:val="none"/>
          <w:lang w:val="en-US"/>
        </w:rPr>
      </w:pPr>
    </w:p>
    <w:p>
      <w:pPr>
        <w:pStyle w:val="26"/>
        <w:tabs>
          <w:tab w:val="left" w:pos="0"/>
        </w:tabs>
        <w:spacing w:line="360" w:lineRule="auto"/>
        <w:ind w:left="480"/>
        <w:rPr>
          <w:color w:val="000000"/>
          <w:highlight w:val="none"/>
          <w:lang w:val="en-US"/>
        </w:rPr>
      </w:pPr>
    </w:p>
    <w:p>
      <w:pPr>
        <w:pStyle w:val="26"/>
        <w:tabs>
          <w:tab w:val="left" w:pos="0"/>
        </w:tabs>
        <w:spacing w:line="360" w:lineRule="auto"/>
        <w:ind w:left="480"/>
        <w:rPr>
          <w:color w:val="000000"/>
          <w:highlight w:val="none"/>
          <w:lang w:val="en-US"/>
        </w:rPr>
      </w:pPr>
    </w:p>
    <w:p>
      <w:pPr>
        <w:pStyle w:val="26"/>
        <w:tabs>
          <w:tab w:val="left" w:pos="0"/>
        </w:tabs>
        <w:spacing w:line="360" w:lineRule="auto"/>
        <w:ind w:left="480"/>
        <w:rPr>
          <w:color w:val="000000"/>
          <w:highlight w:val="none"/>
          <w:lang w:val="en-US"/>
        </w:rPr>
      </w:pPr>
    </w:p>
    <w:p>
      <w:pPr>
        <w:pStyle w:val="26"/>
        <w:tabs>
          <w:tab w:val="left" w:pos="0"/>
        </w:tabs>
        <w:spacing w:line="360" w:lineRule="auto"/>
        <w:ind w:left="0" w:leftChars="0"/>
        <w:rPr>
          <w:color w:val="000000"/>
          <w:highlight w:val="none"/>
          <w:lang w:val="en-US"/>
        </w:rPr>
      </w:pPr>
    </w:p>
    <w:p>
      <w:pPr>
        <w:pStyle w:val="4"/>
        <w:spacing w:line="360" w:lineRule="auto"/>
        <w:rPr>
          <w:highlight w:val="none"/>
        </w:rPr>
      </w:pPr>
      <w:bookmarkStart w:id="164" w:name="_Toc96702580"/>
      <w:r>
        <w:rPr>
          <w:rFonts w:hint="eastAsia"/>
          <w:highlight w:val="none"/>
        </w:rPr>
        <w:t>七、商务及其他要求应答表</w:t>
      </w:r>
      <w:bookmarkEnd w:id="164"/>
    </w:p>
    <w:p>
      <w:pPr>
        <w:pStyle w:val="29"/>
        <w:pBdr>
          <w:bottom w:val="none" w:color="auto" w:sz="0" w:space="0"/>
        </w:pBdr>
        <w:tabs>
          <w:tab w:val="clear" w:pos="4153"/>
          <w:tab w:val="clear" w:pos="8306"/>
        </w:tabs>
        <w:snapToGrid/>
        <w:spacing w:line="360" w:lineRule="auto"/>
        <w:ind w:left="2880"/>
        <w:jc w:val="both"/>
        <w:rPr>
          <w:rFonts w:ascii="宋体" w:hAnsi="宋体"/>
          <w:color w:val="000000"/>
          <w:sz w:val="24"/>
          <w:szCs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33"/>
        <w:gridCol w:w="415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360" w:lineRule="auto"/>
              <w:jc w:val="center"/>
              <w:rPr>
                <w:color w:val="000000"/>
                <w:highlight w:val="none"/>
              </w:rPr>
            </w:pPr>
            <w:r>
              <w:rPr>
                <w:rFonts w:hint="eastAsia"/>
                <w:color w:val="000000"/>
                <w:highlight w:val="none"/>
              </w:rPr>
              <w:t>序号</w:t>
            </w:r>
          </w:p>
        </w:tc>
        <w:tc>
          <w:tcPr>
            <w:tcW w:w="1433" w:type="dxa"/>
            <w:vAlign w:val="center"/>
          </w:tcPr>
          <w:p>
            <w:pPr>
              <w:spacing w:line="360" w:lineRule="auto"/>
              <w:jc w:val="center"/>
              <w:rPr>
                <w:color w:val="000000"/>
                <w:highlight w:val="none"/>
              </w:rPr>
            </w:pPr>
            <w:r>
              <w:rPr>
                <w:rFonts w:hint="eastAsia"/>
                <w:color w:val="000000"/>
                <w:highlight w:val="none"/>
              </w:rPr>
              <w:t>包号</w:t>
            </w:r>
          </w:p>
        </w:tc>
        <w:tc>
          <w:tcPr>
            <w:tcW w:w="4157" w:type="dxa"/>
            <w:vAlign w:val="center"/>
          </w:tcPr>
          <w:p>
            <w:pPr>
              <w:spacing w:line="360" w:lineRule="auto"/>
              <w:jc w:val="center"/>
              <w:rPr>
                <w:color w:val="000000"/>
                <w:highlight w:val="none"/>
              </w:rPr>
            </w:pPr>
            <w:r>
              <w:rPr>
                <w:rFonts w:hint="eastAsia"/>
                <w:color w:val="000000"/>
                <w:highlight w:val="none"/>
              </w:rPr>
              <w:t>采购文件要求</w:t>
            </w:r>
          </w:p>
        </w:tc>
        <w:tc>
          <w:tcPr>
            <w:tcW w:w="2795" w:type="dxa"/>
            <w:vAlign w:val="center"/>
          </w:tcPr>
          <w:p>
            <w:pPr>
              <w:spacing w:line="360" w:lineRule="auto"/>
              <w:jc w:val="center"/>
              <w:rPr>
                <w:color w:val="000000"/>
                <w:highlight w:val="none"/>
              </w:rPr>
            </w:pPr>
            <w:r>
              <w:rPr>
                <w:rFonts w:hint="eastAsia"/>
                <w:color w:val="000000"/>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433" w:type="dxa"/>
          </w:tcPr>
          <w:p>
            <w:pPr>
              <w:spacing w:line="360" w:lineRule="auto"/>
              <w:jc w:val="center"/>
              <w:rPr>
                <w:color w:val="000000"/>
                <w:highlight w:val="none"/>
              </w:rPr>
            </w:pPr>
          </w:p>
        </w:tc>
        <w:tc>
          <w:tcPr>
            <w:tcW w:w="4157"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433" w:type="dxa"/>
          </w:tcPr>
          <w:p>
            <w:pPr>
              <w:spacing w:line="360" w:lineRule="auto"/>
              <w:jc w:val="center"/>
              <w:rPr>
                <w:color w:val="000000"/>
                <w:highlight w:val="none"/>
              </w:rPr>
            </w:pPr>
          </w:p>
        </w:tc>
        <w:tc>
          <w:tcPr>
            <w:tcW w:w="4157"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433" w:type="dxa"/>
          </w:tcPr>
          <w:p>
            <w:pPr>
              <w:spacing w:line="360" w:lineRule="auto"/>
              <w:jc w:val="center"/>
              <w:rPr>
                <w:color w:val="000000"/>
                <w:highlight w:val="none"/>
              </w:rPr>
            </w:pPr>
          </w:p>
        </w:tc>
        <w:tc>
          <w:tcPr>
            <w:tcW w:w="4157"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color w:val="000000"/>
                <w:highlight w:val="none"/>
              </w:rPr>
            </w:pPr>
          </w:p>
        </w:tc>
        <w:tc>
          <w:tcPr>
            <w:tcW w:w="1433" w:type="dxa"/>
          </w:tcPr>
          <w:p>
            <w:pPr>
              <w:spacing w:line="360" w:lineRule="auto"/>
              <w:jc w:val="center"/>
              <w:rPr>
                <w:color w:val="000000"/>
                <w:highlight w:val="none"/>
              </w:rPr>
            </w:pPr>
          </w:p>
        </w:tc>
        <w:tc>
          <w:tcPr>
            <w:tcW w:w="4157" w:type="dxa"/>
          </w:tcPr>
          <w:p>
            <w:pPr>
              <w:spacing w:line="360" w:lineRule="auto"/>
              <w:jc w:val="center"/>
              <w:rPr>
                <w:color w:val="000000"/>
                <w:highlight w:val="none"/>
              </w:rPr>
            </w:pPr>
          </w:p>
        </w:tc>
        <w:tc>
          <w:tcPr>
            <w:tcW w:w="2795" w:type="dxa"/>
          </w:tcPr>
          <w:p>
            <w:pPr>
              <w:spacing w:line="360" w:lineRule="auto"/>
              <w:jc w:val="center"/>
              <w:rPr>
                <w:color w:val="000000"/>
                <w:highlight w:val="none"/>
              </w:rPr>
            </w:pPr>
          </w:p>
        </w:tc>
      </w:tr>
    </w:tbl>
    <w:p>
      <w:pPr>
        <w:spacing w:line="360" w:lineRule="auto"/>
        <w:ind w:firstLine="482" w:firstLineChars="200"/>
        <w:rPr>
          <w:b/>
          <w:color w:val="000000"/>
          <w:highlight w:val="none"/>
        </w:rPr>
      </w:pPr>
    </w:p>
    <w:p>
      <w:pPr>
        <w:spacing w:line="360" w:lineRule="auto"/>
        <w:ind w:firstLine="480" w:firstLineChars="200"/>
        <w:rPr>
          <w:color w:val="000000"/>
          <w:highlight w:val="none"/>
        </w:rPr>
      </w:pPr>
      <w:r>
        <w:rPr>
          <w:rFonts w:hint="eastAsia"/>
          <w:color w:val="000000"/>
          <w:highlight w:val="none"/>
        </w:rPr>
        <w:t>注意：供应商必须据实填写，不得虚假响应，虚假响应的，其响应文件无效并按规定追究其相关责任，</w:t>
      </w:r>
      <w:r>
        <w:rPr>
          <w:rFonts w:hint="eastAsia"/>
          <w:highlight w:val="none"/>
        </w:rPr>
        <w:t>如与谈判文件要求无偏离（包括正偏离和负偏离），则无须应答。</w:t>
      </w:r>
    </w:p>
    <w:p>
      <w:pPr>
        <w:spacing w:line="360" w:lineRule="auto"/>
        <w:ind w:firstLine="480" w:firstLineChars="200"/>
        <w:rPr>
          <w:color w:val="000000"/>
          <w:highlight w:val="none"/>
        </w:rPr>
      </w:pPr>
    </w:p>
    <w:p>
      <w:pPr>
        <w:adjustRightInd w:val="0"/>
        <w:spacing w:line="360" w:lineRule="auto"/>
        <w:ind w:firstLine="480" w:firstLineChars="200"/>
        <w:rPr>
          <w:color w:val="000000"/>
          <w:highlight w:val="none"/>
        </w:rPr>
      </w:pPr>
      <w:r>
        <w:rPr>
          <w:rFonts w:hint="eastAsia"/>
          <w:color w:val="000000"/>
          <w:highlight w:val="none"/>
        </w:rPr>
        <w:t>供应商人名称：XXX（盖单位公章）</w:t>
      </w:r>
    </w:p>
    <w:p>
      <w:pPr>
        <w:adjustRightInd w:val="0"/>
        <w:spacing w:line="360" w:lineRule="auto"/>
        <w:ind w:firstLine="540" w:firstLineChars="225"/>
        <w:rPr>
          <w:bCs/>
          <w:color w:val="000000"/>
          <w:highlight w:val="none"/>
        </w:rPr>
      </w:pPr>
      <w:r>
        <w:rPr>
          <w:rFonts w:hint="eastAsia"/>
          <w:bCs/>
          <w:color w:val="000000"/>
          <w:highlight w:val="none"/>
        </w:rPr>
        <w:t>法定代表人或授权代表（签字或盖章）：XXX</w:t>
      </w:r>
    </w:p>
    <w:p>
      <w:pPr>
        <w:adjustRightInd w:val="0"/>
        <w:spacing w:line="360" w:lineRule="auto"/>
        <w:ind w:firstLine="540" w:firstLineChars="225"/>
        <w:rPr>
          <w:bCs/>
          <w:color w:val="000000"/>
          <w:highlight w:val="none"/>
        </w:rPr>
      </w:pPr>
      <w:r>
        <w:rPr>
          <w:rFonts w:hint="eastAsia"/>
          <w:bCs/>
          <w:color w:val="000000"/>
          <w:highlight w:val="none"/>
        </w:rPr>
        <w:t>日  期：XXX年XXX月XXX日</w:t>
      </w:r>
    </w:p>
    <w:p>
      <w:pPr>
        <w:pStyle w:val="26"/>
        <w:tabs>
          <w:tab w:val="left" w:pos="0"/>
        </w:tabs>
        <w:spacing w:line="360" w:lineRule="auto"/>
        <w:ind w:left="480"/>
        <w:jc w:val="center"/>
        <w:rPr>
          <w:color w:val="000000"/>
          <w:highlight w:val="none"/>
          <w:lang w:val="en-US"/>
        </w:rPr>
      </w:pPr>
    </w:p>
    <w:p>
      <w:pPr>
        <w:pStyle w:val="26"/>
        <w:tabs>
          <w:tab w:val="left" w:pos="0"/>
        </w:tabs>
        <w:spacing w:line="360" w:lineRule="auto"/>
        <w:ind w:left="480"/>
        <w:jc w:val="center"/>
        <w:rPr>
          <w:color w:val="000000"/>
          <w:highlight w:val="none"/>
          <w:lang w:val="en-US"/>
        </w:rPr>
      </w:pPr>
    </w:p>
    <w:p>
      <w:pPr>
        <w:pStyle w:val="26"/>
        <w:tabs>
          <w:tab w:val="left" w:pos="0"/>
        </w:tabs>
        <w:spacing w:line="360" w:lineRule="auto"/>
        <w:ind w:left="480"/>
        <w:jc w:val="center"/>
        <w:rPr>
          <w:color w:val="000000"/>
          <w:highlight w:val="none"/>
          <w:lang w:val="en-US"/>
        </w:rPr>
      </w:pPr>
    </w:p>
    <w:p>
      <w:pPr>
        <w:adjustRightInd w:val="0"/>
        <w:spacing w:line="360" w:lineRule="auto"/>
        <w:rPr>
          <w:color w:val="000000"/>
          <w:sz w:val="28"/>
          <w:highlight w:val="none"/>
        </w:rPr>
        <w:sectPr>
          <w:footerReference r:id="rId10" w:type="default"/>
          <w:type w:val="continuous"/>
          <w:pgSz w:w="13607" w:h="16840"/>
          <w:pgMar w:top="1440" w:right="1797" w:bottom="1440" w:left="1797" w:header="851" w:footer="992" w:gutter="0"/>
          <w:pgNumType w:fmt="numberInDash"/>
          <w:cols w:space="720" w:num="1"/>
          <w:docGrid w:linePitch="312" w:charSpace="0"/>
        </w:sectPr>
      </w:pPr>
    </w:p>
    <w:p>
      <w:pPr>
        <w:pStyle w:val="4"/>
        <w:spacing w:line="360" w:lineRule="auto"/>
        <w:rPr>
          <w:highlight w:val="none"/>
        </w:rPr>
      </w:pPr>
      <w:bookmarkStart w:id="165" w:name="_Toc96702581"/>
      <w:r>
        <w:rPr>
          <w:rFonts w:hint="eastAsia"/>
          <w:highlight w:val="none"/>
        </w:rPr>
        <w:t>八、供应商类似项目业绩一览表</w:t>
      </w:r>
      <w:bookmarkEnd w:id="165"/>
    </w:p>
    <w:p>
      <w:pPr>
        <w:spacing w:line="360" w:lineRule="auto"/>
        <w:rPr>
          <w:rFonts w:cs="Arial"/>
          <w:color w:val="000000"/>
          <w:highlight w:val="none"/>
        </w:rPr>
      </w:pP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682"/>
        <w:gridCol w:w="1683"/>
        <w:gridCol w:w="1683"/>
        <w:gridCol w:w="1683"/>
        <w:gridCol w:w="1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tcBorders>
              <w:top w:val="single" w:color="auto" w:sz="4" w:space="0"/>
            </w:tcBorders>
            <w:vAlign w:val="center"/>
          </w:tcPr>
          <w:p>
            <w:pPr>
              <w:spacing w:line="360" w:lineRule="auto"/>
              <w:ind w:firstLine="120" w:firstLineChars="50"/>
              <w:jc w:val="center"/>
              <w:rPr>
                <w:rFonts w:cs="Arial"/>
                <w:b/>
                <w:color w:val="000000"/>
                <w:highlight w:val="none"/>
              </w:rPr>
            </w:pPr>
            <w:r>
              <w:rPr>
                <w:rFonts w:hint="eastAsia" w:cs="Arial"/>
                <w:b/>
                <w:color w:val="000000"/>
                <w:highlight w:val="none"/>
              </w:rPr>
              <w:t>年份</w:t>
            </w:r>
          </w:p>
        </w:tc>
        <w:tc>
          <w:tcPr>
            <w:tcW w:w="1000" w:type="pct"/>
            <w:vAlign w:val="center"/>
          </w:tcPr>
          <w:p>
            <w:pPr>
              <w:spacing w:line="360" w:lineRule="auto"/>
              <w:jc w:val="center"/>
              <w:rPr>
                <w:rFonts w:cs="Arial"/>
                <w:b/>
                <w:color w:val="000000"/>
                <w:highlight w:val="none"/>
              </w:rPr>
            </w:pPr>
            <w:r>
              <w:rPr>
                <w:rFonts w:hint="eastAsia" w:cs="Arial"/>
                <w:b/>
                <w:color w:val="000000"/>
                <w:highlight w:val="none"/>
              </w:rPr>
              <w:t>用户名称</w:t>
            </w:r>
          </w:p>
        </w:tc>
        <w:tc>
          <w:tcPr>
            <w:tcW w:w="1000" w:type="pct"/>
            <w:vAlign w:val="center"/>
          </w:tcPr>
          <w:p>
            <w:pPr>
              <w:spacing w:line="360" w:lineRule="auto"/>
              <w:jc w:val="center"/>
              <w:rPr>
                <w:rFonts w:cs="Arial"/>
                <w:b/>
                <w:color w:val="000000"/>
                <w:highlight w:val="none"/>
              </w:rPr>
            </w:pPr>
            <w:r>
              <w:rPr>
                <w:rFonts w:cs="Arial"/>
                <w:b/>
                <w:color w:val="000000"/>
                <w:highlight w:val="none"/>
              </w:rPr>
              <w:t>项目名称</w:t>
            </w:r>
          </w:p>
        </w:tc>
        <w:tc>
          <w:tcPr>
            <w:tcW w:w="1000" w:type="pct"/>
            <w:vAlign w:val="center"/>
          </w:tcPr>
          <w:p>
            <w:pPr>
              <w:spacing w:line="360" w:lineRule="auto"/>
              <w:jc w:val="center"/>
              <w:rPr>
                <w:rFonts w:cs="Arial"/>
                <w:b/>
                <w:color w:val="000000"/>
                <w:highlight w:val="none"/>
              </w:rPr>
            </w:pPr>
            <w:r>
              <w:rPr>
                <w:rFonts w:cs="Arial"/>
                <w:b/>
                <w:color w:val="000000"/>
                <w:highlight w:val="none"/>
              </w:rPr>
              <w:t>完成时间</w:t>
            </w:r>
          </w:p>
        </w:tc>
        <w:tc>
          <w:tcPr>
            <w:tcW w:w="1000" w:type="pct"/>
            <w:tcBorders>
              <w:left w:val="single" w:color="auto" w:sz="4" w:space="0"/>
            </w:tcBorders>
            <w:vAlign w:val="center"/>
          </w:tcPr>
          <w:p>
            <w:pPr>
              <w:spacing w:line="360" w:lineRule="auto"/>
              <w:jc w:val="center"/>
              <w:rPr>
                <w:rFonts w:cs="Arial"/>
                <w:b/>
                <w:color w:val="000000"/>
                <w:highlight w:val="none"/>
              </w:rPr>
            </w:pPr>
            <w:r>
              <w:rPr>
                <w:rFonts w:hint="eastAsia" w:cs="Arial"/>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jc w:val="center"/>
              <w:rPr>
                <w:rFonts w:cs="Arial"/>
                <w:color w:val="000000"/>
                <w:highlight w:val="none"/>
              </w:rPr>
            </w:pPr>
          </w:p>
        </w:tc>
        <w:tc>
          <w:tcPr>
            <w:tcW w:w="1000" w:type="pct"/>
            <w:tcBorders>
              <w:right w:val="single" w:color="auto" w:sz="4" w:space="0"/>
            </w:tcBorders>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rPr>
                <w:rFonts w:cs="Arial"/>
                <w:color w:val="000000"/>
                <w:highlight w:val="none"/>
              </w:rPr>
            </w:pPr>
          </w:p>
        </w:tc>
        <w:tc>
          <w:tcPr>
            <w:tcW w:w="1000" w:type="pct"/>
            <w:vAlign w:val="center"/>
          </w:tcPr>
          <w:p>
            <w:pPr>
              <w:spacing w:line="360" w:lineRule="auto"/>
              <w:rPr>
                <w:rFonts w:cs="Arial"/>
                <w:color w:val="000000"/>
                <w:highlight w:val="none"/>
              </w:rPr>
            </w:pPr>
          </w:p>
        </w:tc>
        <w:tc>
          <w:tcPr>
            <w:tcW w:w="1000" w:type="pct"/>
            <w:vAlign w:val="center"/>
          </w:tcPr>
          <w:p>
            <w:pPr>
              <w:spacing w:line="360" w:lineRule="auto"/>
              <w:rPr>
                <w:rFonts w:cs="Arial"/>
                <w:color w:val="000000"/>
                <w:highlight w:val="none"/>
              </w:rPr>
            </w:pPr>
          </w:p>
        </w:tc>
        <w:tc>
          <w:tcPr>
            <w:tcW w:w="1000" w:type="pct"/>
            <w:vAlign w:val="center"/>
          </w:tcPr>
          <w:p>
            <w:pPr>
              <w:spacing w:line="360" w:lineRule="auto"/>
              <w:rPr>
                <w:rFonts w:cs="Arial"/>
                <w:color w:val="000000"/>
                <w:highlight w:val="none"/>
              </w:rPr>
            </w:pPr>
          </w:p>
        </w:tc>
        <w:tc>
          <w:tcPr>
            <w:tcW w:w="1000" w:type="pct"/>
            <w:tcBorders>
              <w:left w:val="single" w:color="auto" w:sz="4" w:space="0"/>
            </w:tcBorders>
            <w:vAlign w:val="center"/>
          </w:tcPr>
          <w:p>
            <w:pPr>
              <w:spacing w:line="360" w:lineRule="auto"/>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jc w:val="center"/>
        </w:trPr>
        <w:tc>
          <w:tcPr>
            <w:tcW w:w="999"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vAlign w:val="center"/>
          </w:tcPr>
          <w:p>
            <w:pPr>
              <w:spacing w:line="360" w:lineRule="auto"/>
              <w:jc w:val="center"/>
              <w:rPr>
                <w:rFonts w:cs="Arial"/>
                <w:color w:val="000000"/>
                <w:highlight w:val="none"/>
              </w:rPr>
            </w:pPr>
          </w:p>
        </w:tc>
        <w:tc>
          <w:tcPr>
            <w:tcW w:w="1000" w:type="pct"/>
            <w:tcBorders>
              <w:left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5" w:hRule="atLeast"/>
          <w:jc w:val="center"/>
        </w:trPr>
        <w:tc>
          <w:tcPr>
            <w:tcW w:w="999" w:type="pct"/>
            <w:tcBorders>
              <w:bottom w:val="single" w:color="auto" w:sz="4" w:space="0"/>
            </w:tcBorders>
            <w:vAlign w:val="center"/>
          </w:tcPr>
          <w:p>
            <w:pPr>
              <w:spacing w:line="360" w:lineRule="auto"/>
              <w:jc w:val="center"/>
              <w:rPr>
                <w:rFonts w:cs="Arial"/>
                <w:color w:val="000000"/>
                <w:highlight w:val="none"/>
              </w:rPr>
            </w:pPr>
          </w:p>
        </w:tc>
        <w:tc>
          <w:tcPr>
            <w:tcW w:w="1000" w:type="pct"/>
            <w:tcBorders>
              <w:bottom w:val="single" w:color="auto" w:sz="4" w:space="0"/>
            </w:tcBorders>
            <w:vAlign w:val="center"/>
          </w:tcPr>
          <w:p>
            <w:pPr>
              <w:spacing w:line="360" w:lineRule="auto"/>
              <w:jc w:val="center"/>
              <w:rPr>
                <w:rFonts w:cs="Arial"/>
                <w:color w:val="000000"/>
                <w:highlight w:val="none"/>
              </w:rPr>
            </w:pPr>
          </w:p>
        </w:tc>
        <w:tc>
          <w:tcPr>
            <w:tcW w:w="1000" w:type="pct"/>
            <w:tcBorders>
              <w:bottom w:val="single" w:color="auto" w:sz="4" w:space="0"/>
            </w:tcBorders>
            <w:vAlign w:val="center"/>
          </w:tcPr>
          <w:p>
            <w:pPr>
              <w:spacing w:line="360" w:lineRule="auto"/>
              <w:jc w:val="center"/>
              <w:rPr>
                <w:rFonts w:cs="Arial"/>
                <w:color w:val="000000"/>
                <w:highlight w:val="none"/>
              </w:rPr>
            </w:pPr>
          </w:p>
        </w:tc>
        <w:tc>
          <w:tcPr>
            <w:tcW w:w="1000" w:type="pct"/>
            <w:tcBorders>
              <w:bottom w:val="single" w:color="auto" w:sz="4" w:space="0"/>
            </w:tcBorders>
            <w:vAlign w:val="center"/>
          </w:tcPr>
          <w:p>
            <w:pPr>
              <w:spacing w:line="360" w:lineRule="auto"/>
              <w:jc w:val="center"/>
              <w:rPr>
                <w:rFonts w:cs="Arial"/>
                <w:color w:val="000000"/>
                <w:highlight w:val="none"/>
              </w:rPr>
            </w:pPr>
          </w:p>
        </w:tc>
        <w:tc>
          <w:tcPr>
            <w:tcW w:w="1000" w:type="pct"/>
            <w:tcBorders>
              <w:left w:val="single" w:color="auto" w:sz="4" w:space="0"/>
              <w:bottom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3" w:hRule="atLeast"/>
          <w:jc w:val="center"/>
        </w:trPr>
        <w:tc>
          <w:tcPr>
            <w:tcW w:w="999"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left w:val="single" w:color="auto" w:sz="4" w:space="0"/>
              <w:bottom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3" w:hRule="atLeast"/>
          <w:jc w:val="center"/>
        </w:trPr>
        <w:tc>
          <w:tcPr>
            <w:tcW w:w="999"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left w:val="single" w:color="auto" w:sz="4" w:space="0"/>
              <w:bottom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4" w:hRule="atLeast"/>
          <w:jc w:val="center"/>
        </w:trPr>
        <w:tc>
          <w:tcPr>
            <w:tcW w:w="999"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bottom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left w:val="single" w:color="auto" w:sz="4" w:space="0"/>
              <w:bottom w:val="single" w:color="auto" w:sz="4" w:space="0"/>
            </w:tcBorders>
            <w:vAlign w:val="center"/>
          </w:tcPr>
          <w:p>
            <w:pPr>
              <w:spacing w:line="360" w:lineRule="auto"/>
              <w:jc w:val="center"/>
              <w:rPr>
                <w:rFonts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8" w:hRule="atLeast"/>
          <w:jc w:val="center"/>
        </w:trPr>
        <w:tc>
          <w:tcPr>
            <w:tcW w:w="999" w:type="pct"/>
            <w:tcBorders>
              <w:top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tcBorders>
            <w:vAlign w:val="center"/>
          </w:tcPr>
          <w:p>
            <w:pPr>
              <w:spacing w:line="360" w:lineRule="auto"/>
              <w:jc w:val="center"/>
              <w:rPr>
                <w:rFonts w:cs="Arial"/>
                <w:color w:val="000000"/>
                <w:highlight w:val="none"/>
              </w:rPr>
            </w:pPr>
          </w:p>
        </w:tc>
        <w:tc>
          <w:tcPr>
            <w:tcW w:w="1000" w:type="pct"/>
            <w:tcBorders>
              <w:top w:val="single" w:color="auto" w:sz="4" w:space="0"/>
              <w:left w:val="single" w:color="auto" w:sz="4" w:space="0"/>
            </w:tcBorders>
            <w:vAlign w:val="center"/>
          </w:tcPr>
          <w:p>
            <w:pPr>
              <w:spacing w:line="360" w:lineRule="auto"/>
              <w:jc w:val="center"/>
              <w:rPr>
                <w:rFonts w:cs="Arial"/>
                <w:color w:val="000000"/>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cs="Arial"/>
          <w:color w:val="000000"/>
          <w:highlight w:val="none"/>
        </w:rPr>
      </w:pPr>
      <w:r>
        <w:rPr>
          <w:rFonts w:hint="eastAsia" w:cs="Arial"/>
          <w:color w:val="000000"/>
          <w:highlight w:val="none"/>
        </w:rPr>
        <w:t>注：以上业绩（仅限于供应商自己的）需提供有关书面证明材料。</w:t>
      </w:r>
    </w:p>
    <w:p>
      <w:pPr>
        <w:spacing w:line="360" w:lineRule="auto"/>
        <w:ind w:left="360"/>
        <w:jc w:val="center"/>
        <w:rPr>
          <w:rFonts w:cs="Arial"/>
          <w:color w:val="000000"/>
          <w:highlight w:val="none"/>
        </w:rPr>
      </w:pPr>
    </w:p>
    <w:p>
      <w:pPr>
        <w:spacing w:line="360" w:lineRule="auto"/>
        <w:rPr>
          <w:rFonts w:cs="Arial"/>
          <w:color w:val="000000"/>
          <w:highlight w:val="none"/>
        </w:rPr>
      </w:pPr>
    </w:p>
    <w:p>
      <w:pPr>
        <w:spacing w:line="360" w:lineRule="auto"/>
        <w:ind w:firstLine="480" w:firstLineChars="200"/>
        <w:rPr>
          <w:color w:val="000000"/>
          <w:highlight w:val="none"/>
        </w:rPr>
      </w:pPr>
      <w:r>
        <w:rPr>
          <w:rFonts w:hint="eastAsia"/>
          <w:color w:val="000000"/>
          <w:highlight w:val="none"/>
        </w:rPr>
        <w:t>供应商名称：XXXX（盖单位公章）</w:t>
      </w:r>
    </w:p>
    <w:p>
      <w:pPr>
        <w:spacing w:line="360" w:lineRule="auto"/>
        <w:ind w:firstLine="480" w:firstLineChars="200"/>
        <w:rPr>
          <w:color w:val="000000"/>
          <w:highlight w:val="none"/>
        </w:rPr>
      </w:pPr>
      <w:r>
        <w:rPr>
          <w:rFonts w:hint="eastAsia"/>
          <w:color w:val="000000"/>
          <w:highlight w:val="none"/>
        </w:rPr>
        <w:t>法定代表人或授权代表（签字）：XXXX</w:t>
      </w:r>
    </w:p>
    <w:p>
      <w:pPr>
        <w:spacing w:line="360" w:lineRule="auto"/>
        <w:ind w:firstLine="480" w:firstLineChars="200"/>
        <w:rPr>
          <w:color w:val="000000"/>
          <w:highlight w:val="none"/>
        </w:rPr>
      </w:pPr>
      <w:r>
        <w:rPr>
          <w:rFonts w:hint="eastAsia"/>
          <w:color w:val="000000"/>
          <w:highlight w:val="none"/>
        </w:rPr>
        <w:t>日期: XXXX</w:t>
      </w:r>
    </w:p>
    <w:p>
      <w:pPr>
        <w:spacing w:line="360" w:lineRule="auto"/>
        <w:rPr>
          <w:color w:val="000000"/>
          <w:highlight w:val="none"/>
        </w:rPr>
      </w:pPr>
    </w:p>
    <w:p>
      <w:pPr>
        <w:spacing w:line="360" w:lineRule="auto"/>
        <w:jc w:val="center"/>
        <w:rPr>
          <w:b/>
          <w:sz w:val="32"/>
          <w:szCs w:val="32"/>
          <w:highlight w:val="none"/>
        </w:rPr>
      </w:pPr>
      <w:r>
        <w:rPr>
          <w:b/>
          <w:sz w:val="32"/>
          <w:szCs w:val="32"/>
          <w:highlight w:val="none"/>
        </w:rPr>
        <w:br w:type="textWrapping"/>
      </w:r>
    </w:p>
    <w:p>
      <w:pPr>
        <w:pStyle w:val="4"/>
        <w:spacing w:line="360" w:lineRule="auto"/>
        <w:rPr>
          <w:highlight w:val="none"/>
        </w:rPr>
      </w:pPr>
      <w:bookmarkStart w:id="166" w:name="_Toc96702582"/>
      <w:r>
        <w:rPr>
          <w:rFonts w:hint="eastAsia"/>
          <w:highlight w:val="none"/>
        </w:rPr>
        <w:t>九、供应商本项目管理、技术、服务人员情况表</w:t>
      </w:r>
      <w:bookmarkEnd w:id="166"/>
    </w:p>
    <w:p>
      <w:pPr>
        <w:spacing w:line="360" w:lineRule="auto"/>
        <w:rPr>
          <w:highlight w:val="none"/>
        </w:rPr>
      </w:pPr>
      <w:r>
        <w:rPr>
          <w:rFonts w:hint="eastAsia"/>
          <w:highlight w:val="none"/>
        </w:rPr>
        <w:t>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57"/>
        <w:gridCol w:w="1057"/>
        <w:gridCol w:w="1057"/>
        <w:gridCol w:w="1057"/>
        <w:gridCol w:w="1057"/>
        <w:gridCol w:w="105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restart"/>
            <w:vAlign w:val="center"/>
          </w:tcPr>
          <w:p>
            <w:pPr>
              <w:spacing w:line="360" w:lineRule="auto"/>
              <w:jc w:val="center"/>
              <w:rPr>
                <w:highlight w:val="none"/>
              </w:rPr>
            </w:pPr>
            <w:r>
              <w:rPr>
                <w:rFonts w:hint="eastAsia"/>
                <w:highlight w:val="none"/>
              </w:rPr>
              <w:t>类别</w:t>
            </w:r>
          </w:p>
        </w:tc>
        <w:tc>
          <w:tcPr>
            <w:tcW w:w="1057" w:type="dxa"/>
            <w:vMerge w:val="restart"/>
            <w:vAlign w:val="center"/>
          </w:tcPr>
          <w:p>
            <w:pPr>
              <w:spacing w:line="360" w:lineRule="auto"/>
              <w:jc w:val="center"/>
              <w:rPr>
                <w:highlight w:val="none"/>
              </w:rPr>
            </w:pPr>
            <w:r>
              <w:rPr>
                <w:rFonts w:hint="eastAsia"/>
                <w:highlight w:val="none"/>
              </w:rPr>
              <w:t>职务</w:t>
            </w:r>
          </w:p>
        </w:tc>
        <w:tc>
          <w:tcPr>
            <w:tcW w:w="1057" w:type="dxa"/>
            <w:vMerge w:val="restart"/>
            <w:vAlign w:val="center"/>
          </w:tcPr>
          <w:p>
            <w:pPr>
              <w:spacing w:line="360" w:lineRule="auto"/>
              <w:jc w:val="center"/>
              <w:rPr>
                <w:highlight w:val="none"/>
              </w:rPr>
            </w:pPr>
            <w:r>
              <w:rPr>
                <w:rFonts w:hint="eastAsia"/>
                <w:highlight w:val="none"/>
              </w:rPr>
              <w:t>姓名</w:t>
            </w:r>
          </w:p>
        </w:tc>
        <w:tc>
          <w:tcPr>
            <w:tcW w:w="1057" w:type="dxa"/>
            <w:vMerge w:val="restart"/>
            <w:vAlign w:val="center"/>
          </w:tcPr>
          <w:p>
            <w:pPr>
              <w:spacing w:line="360" w:lineRule="auto"/>
              <w:jc w:val="center"/>
              <w:rPr>
                <w:highlight w:val="none"/>
              </w:rPr>
            </w:pPr>
            <w:r>
              <w:rPr>
                <w:rFonts w:hint="eastAsia"/>
                <w:highlight w:val="none"/>
              </w:rPr>
              <w:t>职称</w:t>
            </w:r>
          </w:p>
        </w:tc>
        <w:tc>
          <w:tcPr>
            <w:tcW w:w="4232" w:type="dxa"/>
            <w:gridSpan w:val="4"/>
            <w:vAlign w:val="center"/>
          </w:tcPr>
          <w:p>
            <w:pPr>
              <w:spacing w:line="360" w:lineRule="auto"/>
              <w:jc w:val="center"/>
              <w:rPr>
                <w:highlight w:val="none"/>
              </w:rPr>
            </w:pPr>
            <w:r>
              <w:rPr>
                <w:rFonts w:hint="eastAsia"/>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056" w:type="dxa"/>
            <w:vMerge w:val="continue"/>
            <w:vAlign w:val="center"/>
          </w:tcPr>
          <w:p>
            <w:pPr>
              <w:spacing w:line="360" w:lineRule="auto"/>
              <w:jc w:val="center"/>
              <w:rPr>
                <w:highlight w:val="none"/>
              </w:rPr>
            </w:pPr>
          </w:p>
        </w:tc>
        <w:tc>
          <w:tcPr>
            <w:tcW w:w="1057" w:type="dxa"/>
            <w:vMerge w:val="continue"/>
            <w:vAlign w:val="center"/>
          </w:tcPr>
          <w:p>
            <w:pPr>
              <w:spacing w:line="360" w:lineRule="auto"/>
              <w:jc w:val="center"/>
              <w:rPr>
                <w:highlight w:val="none"/>
              </w:rPr>
            </w:pPr>
          </w:p>
        </w:tc>
        <w:tc>
          <w:tcPr>
            <w:tcW w:w="1057" w:type="dxa"/>
            <w:vMerge w:val="continue"/>
            <w:vAlign w:val="center"/>
          </w:tcPr>
          <w:p>
            <w:pPr>
              <w:spacing w:line="360" w:lineRule="auto"/>
              <w:jc w:val="center"/>
              <w:rPr>
                <w:highlight w:val="none"/>
              </w:rPr>
            </w:pPr>
          </w:p>
        </w:tc>
        <w:tc>
          <w:tcPr>
            <w:tcW w:w="1057" w:type="dxa"/>
            <w:vMerge w:val="continue"/>
            <w:vAlign w:val="center"/>
          </w:tcPr>
          <w:p>
            <w:pPr>
              <w:spacing w:line="360" w:lineRule="auto"/>
              <w:jc w:val="center"/>
              <w:rPr>
                <w:highlight w:val="none"/>
              </w:rPr>
            </w:pPr>
          </w:p>
        </w:tc>
        <w:tc>
          <w:tcPr>
            <w:tcW w:w="1057" w:type="dxa"/>
            <w:vAlign w:val="center"/>
          </w:tcPr>
          <w:p>
            <w:pPr>
              <w:spacing w:line="360" w:lineRule="auto"/>
              <w:jc w:val="center"/>
              <w:rPr>
                <w:highlight w:val="none"/>
              </w:rPr>
            </w:pPr>
            <w:r>
              <w:rPr>
                <w:rFonts w:hint="eastAsia"/>
                <w:highlight w:val="none"/>
              </w:rPr>
              <w:t>证书</w:t>
            </w:r>
          </w:p>
          <w:p>
            <w:pPr>
              <w:spacing w:line="360" w:lineRule="auto"/>
              <w:jc w:val="center"/>
              <w:rPr>
                <w:highlight w:val="none"/>
              </w:rPr>
            </w:pPr>
            <w:r>
              <w:rPr>
                <w:rFonts w:hint="eastAsia"/>
                <w:highlight w:val="none"/>
              </w:rPr>
              <w:t>名称</w:t>
            </w:r>
          </w:p>
        </w:tc>
        <w:tc>
          <w:tcPr>
            <w:tcW w:w="1057" w:type="dxa"/>
            <w:vAlign w:val="center"/>
          </w:tcPr>
          <w:p>
            <w:pPr>
              <w:spacing w:line="360" w:lineRule="auto"/>
              <w:jc w:val="center"/>
              <w:rPr>
                <w:highlight w:val="none"/>
              </w:rPr>
            </w:pPr>
            <w:r>
              <w:rPr>
                <w:rFonts w:hint="eastAsia"/>
                <w:highlight w:val="none"/>
              </w:rPr>
              <w:t>级别</w:t>
            </w:r>
          </w:p>
        </w:tc>
        <w:tc>
          <w:tcPr>
            <w:tcW w:w="1057" w:type="dxa"/>
            <w:vAlign w:val="center"/>
          </w:tcPr>
          <w:p>
            <w:pPr>
              <w:spacing w:line="360" w:lineRule="auto"/>
              <w:jc w:val="center"/>
              <w:rPr>
                <w:highlight w:val="none"/>
              </w:rPr>
            </w:pPr>
            <w:r>
              <w:rPr>
                <w:rFonts w:hint="eastAsia"/>
                <w:highlight w:val="none"/>
              </w:rPr>
              <w:t>证号</w:t>
            </w:r>
          </w:p>
        </w:tc>
        <w:tc>
          <w:tcPr>
            <w:tcW w:w="1061" w:type="dxa"/>
            <w:vAlign w:val="center"/>
          </w:tcPr>
          <w:p>
            <w:pPr>
              <w:spacing w:line="360" w:lineRule="auto"/>
              <w:jc w:val="center"/>
              <w:rPr>
                <w:highlight w:val="none"/>
              </w:rPr>
            </w:pPr>
            <w:r>
              <w:rPr>
                <w:rFonts w:hint="eastAsia"/>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restart"/>
            <w:vAlign w:val="center"/>
          </w:tcPr>
          <w:p>
            <w:pPr>
              <w:spacing w:line="360" w:lineRule="auto"/>
              <w:jc w:val="center"/>
              <w:rPr>
                <w:highlight w:val="none"/>
              </w:rPr>
            </w:pPr>
            <w:r>
              <w:rPr>
                <w:rFonts w:hint="eastAsia"/>
                <w:highlight w:val="none"/>
              </w:rPr>
              <w:t>管理</w:t>
            </w:r>
          </w:p>
          <w:p>
            <w:pPr>
              <w:spacing w:line="360" w:lineRule="auto"/>
              <w:jc w:val="center"/>
              <w:rPr>
                <w:highlight w:val="none"/>
              </w:rPr>
            </w:pPr>
            <w:r>
              <w:rPr>
                <w:rFonts w:hint="eastAsia"/>
                <w:highlight w:val="none"/>
              </w:rPr>
              <w:t>人员</w:t>
            </w: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continue"/>
            <w:vAlign w:val="center"/>
          </w:tcPr>
          <w:p>
            <w:pPr>
              <w:spacing w:line="360" w:lineRule="auto"/>
              <w:jc w:val="center"/>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continue"/>
            <w:vAlign w:val="center"/>
          </w:tcPr>
          <w:p>
            <w:pPr>
              <w:spacing w:line="360" w:lineRule="auto"/>
              <w:jc w:val="center"/>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restart"/>
            <w:vAlign w:val="center"/>
          </w:tcPr>
          <w:p>
            <w:pPr>
              <w:spacing w:line="360" w:lineRule="auto"/>
              <w:jc w:val="center"/>
              <w:rPr>
                <w:highlight w:val="none"/>
              </w:rPr>
            </w:pPr>
            <w:r>
              <w:rPr>
                <w:rFonts w:hint="eastAsia"/>
                <w:highlight w:val="none"/>
              </w:rPr>
              <w:t>技术</w:t>
            </w:r>
          </w:p>
          <w:p>
            <w:pPr>
              <w:spacing w:line="360" w:lineRule="auto"/>
              <w:jc w:val="center"/>
              <w:rPr>
                <w:highlight w:val="none"/>
              </w:rPr>
            </w:pPr>
            <w:r>
              <w:rPr>
                <w:rFonts w:hint="eastAsia"/>
                <w:highlight w:val="none"/>
              </w:rPr>
              <w:t>人员</w:t>
            </w: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continue"/>
            <w:vAlign w:val="center"/>
          </w:tcPr>
          <w:p>
            <w:pPr>
              <w:spacing w:line="360" w:lineRule="auto"/>
              <w:jc w:val="center"/>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continue"/>
            <w:vAlign w:val="center"/>
          </w:tcPr>
          <w:p>
            <w:pPr>
              <w:spacing w:line="360" w:lineRule="auto"/>
              <w:jc w:val="center"/>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restart"/>
            <w:vAlign w:val="center"/>
          </w:tcPr>
          <w:p>
            <w:pPr>
              <w:spacing w:line="360" w:lineRule="auto"/>
              <w:jc w:val="center"/>
              <w:rPr>
                <w:highlight w:val="none"/>
              </w:rPr>
            </w:pPr>
            <w:r>
              <w:rPr>
                <w:rFonts w:hint="eastAsia"/>
                <w:highlight w:val="none"/>
              </w:rPr>
              <w:t>售后服务人员</w:t>
            </w: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6" w:type="dxa"/>
            <w:vMerge w:val="continue"/>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6" w:type="dxa"/>
            <w:vMerge w:val="continue"/>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57" w:type="dxa"/>
          </w:tcPr>
          <w:p>
            <w:pPr>
              <w:spacing w:line="360" w:lineRule="auto"/>
              <w:rPr>
                <w:highlight w:val="none"/>
              </w:rPr>
            </w:pPr>
          </w:p>
        </w:tc>
        <w:tc>
          <w:tcPr>
            <w:tcW w:w="1061" w:type="dxa"/>
          </w:tcPr>
          <w:p>
            <w:pPr>
              <w:spacing w:line="360" w:lineRule="auto"/>
              <w:rPr>
                <w:highlight w:val="none"/>
              </w:rPr>
            </w:pPr>
          </w:p>
        </w:tc>
      </w:tr>
    </w:tbl>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r>
        <w:rPr>
          <w:rFonts w:hint="eastAsia"/>
          <w:highlight w:val="none"/>
        </w:rPr>
        <w:t>供应商名称：XXX（盖单位公章）</w:t>
      </w:r>
    </w:p>
    <w:p>
      <w:pPr>
        <w:spacing w:line="360" w:lineRule="auto"/>
        <w:rPr>
          <w:highlight w:val="none"/>
        </w:rPr>
      </w:pPr>
      <w:r>
        <w:rPr>
          <w:rFonts w:hint="eastAsia"/>
          <w:highlight w:val="none"/>
        </w:rPr>
        <w:t>法定代表人或授权代表（签字）：XXX</w:t>
      </w:r>
    </w:p>
    <w:p>
      <w:pPr>
        <w:spacing w:line="360" w:lineRule="auto"/>
        <w:rPr>
          <w:highlight w:val="none"/>
        </w:rPr>
      </w:pPr>
      <w:r>
        <w:rPr>
          <w:rFonts w:hint="eastAsia"/>
          <w:highlight w:val="none"/>
        </w:rPr>
        <w:t>日      期</w:t>
      </w:r>
      <w:r>
        <w:rPr>
          <w:rFonts w:hint="eastAsia"/>
          <w:color w:val="000000"/>
          <w:highlight w:val="none"/>
        </w:rPr>
        <w:t>：</w:t>
      </w:r>
      <w:r>
        <w:rPr>
          <w:rFonts w:hint="eastAsia"/>
          <w:highlight w:val="none"/>
        </w:rPr>
        <w:t xml:space="preserve"> XXX</w:t>
      </w:r>
    </w:p>
    <w:p>
      <w:pPr>
        <w:spacing w:line="360" w:lineRule="auto"/>
        <w:rPr>
          <w:sz w:val="32"/>
          <w:szCs w:val="32"/>
          <w:highlight w:val="none"/>
        </w:rPr>
      </w:pPr>
    </w:p>
    <w:p>
      <w:pPr>
        <w:spacing w:line="360" w:lineRule="auto"/>
        <w:rPr>
          <w:sz w:val="32"/>
          <w:szCs w:val="32"/>
          <w:highlight w:val="none"/>
        </w:rPr>
      </w:pPr>
    </w:p>
    <w:p>
      <w:pPr>
        <w:spacing w:line="360" w:lineRule="auto"/>
        <w:rPr>
          <w:sz w:val="32"/>
          <w:szCs w:val="32"/>
          <w:highlight w:val="none"/>
        </w:rPr>
      </w:pPr>
    </w:p>
    <w:p>
      <w:pPr>
        <w:pStyle w:val="4"/>
        <w:spacing w:line="360" w:lineRule="auto"/>
        <w:rPr>
          <w:highlight w:val="none"/>
        </w:rPr>
      </w:pPr>
      <w:r>
        <w:rPr>
          <w:highlight w:val="none"/>
        </w:rPr>
        <w:br w:type="page"/>
      </w:r>
      <w:r>
        <w:rPr>
          <w:rFonts w:hint="eastAsia"/>
          <w:highlight w:val="none"/>
        </w:rPr>
        <w:t>十、其他资料</w:t>
      </w:r>
    </w:p>
    <w:p>
      <w:pPr>
        <w:spacing w:line="360" w:lineRule="auto"/>
        <w:rPr>
          <w:sz w:val="32"/>
          <w:szCs w:val="32"/>
          <w:highlight w:val="none"/>
        </w:rPr>
      </w:pPr>
      <w:r>
        <w:rPr>
          <w:rFonts w:hint="eastAsia"/>
          <w:sz w:val="32"/>
          <w:szCs w:val="32"/>
          <w:highlight w:val="none"/>
        </w:rPr>
        <w:t>供应商认为对其有利的其他资料</w:t>
      </w:r>
    </w:p>
    <w:p>
      <w:pPr>
        <w:pStyle w:val="4"/>
        <w:spacing w:line="360" w:lineRule="auto"/>
        <w:rPr>
          <w:sz w:val="32"/>
          <w:highlight w:val="none"/>
        </w:rPr>
      </w:pPr>
      <w:r>
        <w:rPr>
          <w:sz w:val="32"/>
          <w:highlight w:val="none"/>
        </w:rPr>
        <w:br w:type="page"/>
      </w:r>
      <w:r>
        <w:rPr>
          <w:rFonts w:hint="eastAsia"/>
          <w:highlight w:val="none"/>
        </w:rPr>
        <w:t>十一、最终报价表</w:t>
      </w:r>
    </w:p>
    <w:p>
      <w:pPr>
        <w:spacing w:line="360" w:lineRule="auto"/>
        <w:rPr>
          <w:color w:val="000000"/>
          <w:highlight w:val="none"/>
        </w:rPr>
      </w:pPr>
      <w:r>
        <w:rPr>
          <w:rFonts w:hint="eastAsia"/>
          <w:color w:val="000000"/>
          <w:highlight w:val="none"/>
        </w:rPr>
        <w:t>项目名称：</w:t>
      </w:r>
    </w:p>
    <w:tbl>
      <w:tblPr>
        <w:tblStyle w:val="43"/>
        <w:tblW w:w="10020" w:type="dxa"/>
        <w:tblInd w:w="-407" w:type="dxa"/>
        <w:tblLayout w:type="autofit"/>
        <w:tblCellMar>
          <w:top w:w="0" w:type="dxa"/>
          <w:left w:w="108" w:type="dxa"/>
          <w:bottom w:w="0" w:type="dxa"/>
          <w:right w:w="108" w:type="dxa"/>
        </w:tblCellMar>
      </w:tblPr>
      <w:tblGrid>
        <w:gridCol w:w="1080"/>
        <w:gridCol w:w="2240"/>
        <w:gridCol w:w="2380"/>
        <w:gridCol w:w="1080"/>
        <w:gridCol w:w="1080"/>
        <w:gridCol w:w="1080"/>
        <w:gridCol w:w="1080"/>
      </w:tblGrid>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序号</w:t>
            </w:r>
          </w:p>
        </w:tc>
        <w:tc>
          <w:tcPr>
            <w:tcW w:w="2240" w:type="dxa"/>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项目名称</w:t>
            </w:r>
          </w:p>
        </w:tc>
        <w:tc>
          <w:tcPr>
            <w:tcW w:w="2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选用设备设施名称型号规格</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报价（元）</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备   注</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水箱</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食品级304不锈钢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个</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水泵</w:t>
            </w:r>
          </w:p>
        </w:tc>
        <w:tc>
          <w:tcPr>
            <w:tcW w:w="2380" w:type="dxa"/>
            <w:tcBorders>
              <w:top w:val="nil"/>
              <w:left w:val="nil"/>
              <w:bottom w:val="single" w:color="auto" w:sz="4" w:space="0"/>
              <w:right w:val="single" w:color="auto" w:sz="4" w:space="0"/>
            </w:tcBorders>
            <w:shd w:val="clear" w:color="000000" w:fill="FFFF00"/>
            <w:vAlign w:val="center"/>
          </w:tcPr>
          <w:p>
            <w:pPr>
              <w:rPr>
                <w:rFonts w:hint="eastAsia"/>
                <w:color w:val="000000"/>
                <w:sz w:val="20"/>
                <w:szCs w:val="20"/>
                <w:highlight w:val="none"/>
              </w:rPr>
            </w:pPr>
            <w:r>
              <w:rPr>
                <w:rFonts w:hint="eastAsia"/>
                <w:color w:val="000000"/>
                <w:sz w:val="20"/>
                <w:szCs w:val="20"/>
                <w:highlight w:val="none"/>
                <w:lang w:val="en-US" w:eastAsia="zh-CN"/>
              </w:rPr>
              <w:t>中区：</w:t>
            </w:r>
            <w:r>
              <w:rPr>
                <w:rFonts w:hint="eastAsia"/>
                <w:color w:val="000000"/>
                <w:sz w:val="20"/>
                <w:szCs w:val="20"/>
                <w:highlight w:val="none"/>
              </w:rPr>
              <w:t xml:space="preserve">Q=66m3/h  H=80m  N=33KW   </w:t>
            </w:r>
          </w:p>
          <w:p>
            <w:pPr>
              <w:rPr>
                <w:rFonts w:hint="eastAsia" w:eastAsia="宋体"/>
                <w:color w:val="000000"/>
                <w:sz w:val="20"/>
                <w:szCs w:val="20"/>
                <w:highlight w:val="none"/>
                <w:lang w:val="en-US" w:eastAsia="zh-CN"/>
              </w:rPr>
            </w:pPr>
            <w:r>
              <w:rPr>
                <w:rFonts w:hint="eastAsia"/>
                <w:color w:val="000000"/>
                <w:sz w:val="20"/>
                <w:szCs w:val="20"/>
                <w:highlight w:val="none"/>
                <w:lang w:val="en-US" w:eastAsia="zh-CN"/>
              </w:rPr>
              <w:t xml:space="preserve">高区：Q=63m3/h  H=118m  N=33KW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三用一备</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3</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紫外线消毒设备</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反渗透纯化水处理无菌水箱紫外线消毒器304 316不锈钢仪 LK-UV150T</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5</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6</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泵房装修</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装修等等按标准泵房打的所有内容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7</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安防监控摄像</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存储时间1个月</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含支架等配件</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8</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13年运维服务</w:t>
            </w:r>
          </w:p>
        </w:tc>
        <w:tc>
          <w:tcPr>
            <w:tcW w:w="2380" w:type="dxa"/>
            <w:tcBorders>
              <w:top w:val="nil"/>
              <w:left w:val="nil"/>
              <w:bottom w:val="nil"/>
              <w:right w:val="nil"/>
            </w:tcBorders>
            <w:shd w:val="clear" w:color="auto" w:fill="auto"/>
            <w:noWrap/>
            <w:vAlign w:val="bottom"/>
          </w:tcPr>
          <w:p>
            <w:pPr>
              <w:rPr>
                <w:rFonts w:hint="eastAsia"/>
                <w:color w:val="000000"/>
                <w:sz w:val="20"/>
                <w:szCs w:val="20"/>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合计</w:t>
            </w:r>
          </w:p>
        </w:tc>
        <w:tc>
          <w:tcPr>
            <w:tcW w:w="8940" w:type="dxa"/>
            <w:gridSpan w:val="6"/>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序号</w:t>
            </w:r>
          </w:p>
        </w:tc>
        <w:tc>
          <w:tcPr>
            <w:tcW w:w="2240" w:type="dxa"/>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项目名称</w:t>
            </w:r>
          </w:p>
        </w:tc>
        <w:tc>
          <w:tcPr>
            <w:tcW w:w="2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选用设备设施名称型号规格</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报价（元）</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备   注</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水箱</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食品级304不锈钢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个</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2</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水泵</w:t>
            </w:r>
          </w:p>
        </w:tc>
        <w:tc>
          <w:tcPr>
            <w:tcW w:w="2380" w:type="dxa"/>
            <w:tcBorders>
              <w:top w:val="nil"/>
              <w:left w:val="nil"/>
              <w:bottom w:val="single" w:color="auto" w:sz="4" w:space="0"/>
              <w:right w:val="single" w:color="auto" w:sz="4" w:space="0"/>
            </w:tcBorders>
            <w:shd w:val="clear" w:color="000000" w:fill="FFFF00"/>
            <w:vAlign w:val="center"/>
          </w:tcPr>
          <w:p>
            <w:pPr>
              <w:rPr>
                <w:rFonts w:hint="eastAsia"/>
                <w:color w:val="000000"/>
                <w:sz w:val="20"/>
                <w:szCs w:val="20"/>
                <w:highlight w:val="none"/>
              </w:rPr>
            </w:pPr>
            <w:r>
              <w:rPr>
                <w:rFonts w:hint="eastAsia"/>
                <w:color w:val="000000"/>
                <w:sz w:val="20"/>
                <w:szCs w:val="20"/>
                <w:highlight w:val="none"/>
              </w:rPr>
              <w:t>添加水泵基本参数：流量、扬程、功率</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三用一备</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3</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紫外线消毒设备</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添加消毒设备基本参数</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5</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DN50不锈钢管</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SUS304食品级不锈钢</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从</w:t>
            </w:r>
            <w:r>
              <w:rPr>
                <w:rFonts w:hint="eastAsia"/>
                <w:color w:val="FF0000"/>
                <w:sz w:val="20"/>
                <w:szCs w:val="20"/>
                <w:highlight w:val="none"/>
              </w:rPr>
              <w:t>起点</w:t>
            </w:r>
            <w:r>
              <w:rPr>
                <w:rFonts w:hint="eastAsia"/>
                <w:color w:val="000000"/>
                <w:sz w:val="20"/>
                <w:szCs w:val="20"/>
                <w:highlight w:val="none"/>
              </w:rPr>
              <w:t>到</w:t>
            </w:r>
            <w:r>
              <w:rPr>
                <w:rFonts w:hint="eastAsia"/>
                <w:color w:val="FF0000"/>
                <w:sz w:val="20"/>
                <w:szCs w:val="20"/>
                <w:highlight w:val="none"/>
              </w:rPr>
              <w:t>终点</w:t>
            </w:r>
            <w:r>
              <w:rPr>
                <w:rFonts w:hint="eastAsia"/>
                <w:color w:val="000000"/>
                <w:sz w:val="20"/>
                <w:szCs w:val="20"/>
                <w:highlight w:val="none"/>
              </w:rPr>
              <w:t>包干</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6</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泵房装修</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装修等等按标准泵房打的所有内容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7</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安防监控摄像</w:t>
            </w:r>
          </w:p>
        </w:tc>
        <w:tc>
          <w:tcPr>
            <w:tcW w:w="23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存储时间1个月</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套</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4</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含支架等配件</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8</w:t>
            </w:r>
          </w:p>
        </w:tc>
        <w:tc>
          <w:tcPr>
            <w:tcW w:w="224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13年运维服务</w:t>
            </w:r>
          </w:p>
        </w:tc>
        <w:tc>
          <w:tcPr>
            <w:tcW w:w="2380" w:type="dxa"/>
            <w:tcBorders>
              <w:top w:val="nil"/>
              <w:left w:val="nil"/>
              <w:bottom w:val="nil"/>
              <w:right w:val="nil"/>
            </w:tcBorders>
            <w:shd w:val="clear" w:color="auto" w:fill="auto"/>
            <w:noWrap/>
            <w:vAlign w:val="bottom"/>
          </w:tcPr>
          <w:p>
            <w:pPr>
              <w:rPr>
                <w:rFonts w:hint="eastAsia"/>
                <w:color w:val="000000"/>
                <w:sz w:val="20"/>
                <w:szCs w:val="20"/>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highlight w:val="none"/>
              </w:rPr>
            </w:pPr>
            <w:r>
              <w:rPr>
                <w:rFonts w:hint="eastAsia"/>
                <w:color w:val="000000"/>
                <w:sz w:val="20"/>
                <w:szCs w:val="20"/>
                <w:highlight w:val="none"/>
              </w:rPr>
              <w:t>项</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1</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highlight w:val="none"/>
              </w:rPr>
            </w:pPr>
            <w:r>
              <w:rPr>
                <w:rFonts w:hint="eastAsia"/>
                <w:color w:val="000000"/>
                <w:sz w:val="20"/>
                <w:szCs w:val="20"/>
                <w:highlight w:val="none"/>
              </w:rPr>
              <w:t>合计</w:t>
            </w:r>
          </w:p>
        </w:tc>
        <w:tc>
          <w:tcPr>
            <w:tcW w:w="8940" w:type="dxa"/>
            <w:gridSpan w:val="6"/>
            <w:tcBorders>
              <w:top w:val="single" w:color="auto" w:sz="4" w:space="0"/>
              <w:left w:val="nil"/>
              <w:bottom w:val="single" w:color="auto" w:sz="4" w:space="0"/>
              <w:right w:val="single" w:color="auto" w:sz="4" w:space="0"/>
            </w:tcBorders>
            <w:shd w:val="clear" w:color="auto" w:fill="auto"/>
            <w:vAlign w:val="center"/>
          </w:tcPr>
          <w:p>
            <w:pPr>
              <w:rPr>
                <w:rFonts w:hint="eastAsia"/>
                <w:color w:val="000000"/>
                <w:sz w:val="20"/>
                <w:szCs w:val="20"/>
                <w:highlight w:val="none"/>
              </w:rPr>
            </w:pPr>
            <w:r>
              <w:rPr>
                <w:rFonts w:hint="eastAsia"/>
                <w:color w:val="000000"/>
                <w:sz w:val="20"/>
                <w:szCs w:val="20"/>
                <w:highlight w:val="none"/>
              </w:rPr>
              <w:t>　</w:t>
            </w:r>
          </w:p>
        </w:tc>
      </w:tr>
    </w:tbl>
    <w:p>
      <w:pPr>
        <w:rPr>
          <w:highlight w:val="none"/>
        </w:rPr>
      </w:pPr>
    </w:p>
    <w:p>
      <w:pPr>
        <w:rPr>
          <w:bCs/>
          <w:color w:val="000000"/>
          <w:highlight w:val="none"/>
        </w:rPr>
      </w:pPr>
      <w:r>
        <w:rPr>
          <w:rFonts w:hint="eastAsia"/>
          <w:highlight w:val="none"/>
        </w:rPr>
        <w:t>注：1、供应商必须按“</w:t>
      </w:r>
      <w:r>
        <w:rPr>
          <w:rFonts w:hint="eastAsia"/>
          <w:bCs/>
          <w:highlight w:val="none"/>
        </w:rPr>
        <w:t>报价明细表”的格式</w:t>
      </w:r>
      <w:r>
        <w:rPr>
          <w:rFonts w:hint="eastAsia"/>
          <w:highlight w:val="none"/>
        </w:rPr>
        <w:t>详细报出本项目总价的各个组成部分的报价，报价包含设备、主材、辅助材、运费、施工安装、调试、税费等所有费用，否则作无效响应处理。</w:t>
      </w:r>
    </w:p>
    <w:p>
      <w:pPr>
        <w:rPr>
          <w:bCs/>
          <w:color w:val="000000"/>
          <w:highlight w:val="none"/>
        </w:rPr>
      </w:pPr>
      <w:r>
        <w:rPr>
          <w:rFonts w:hint="eastAsia"/>
          <w:b/>
          <w:bCs/>
          <w:color w:val="000000"/>
          <w:highlight w:val="none"/>
        </w:rPr>
        <w:t xml:space="preserve">   </w:t>
      </w:r>
      <w:r>
        <w:rPr>
          <w:rFonts w:hint="eastAsia"/>
          <w:bCs/>
          <w:color w:val="000000"/>
          <w:highlight w:val="none"/>
        </w:rPr>
        <w:t xml:space="preserve"> 2、</w:t>
      </w:r>
      <w:r>
        <w:rPr>
          <w:rFonts w:hint="eastAsia" w:cs="仿宋"/>
          <w:highlight w:val="none"/>
        </w:rPr>
        <w:t>此表应单独提供，不装入响应文件中。</w:t>
      </w:r>
    </w:p>
    <w:p>
      <w:pPr>
        <w:rPr>
          <w:highlight w:val="none"/>
        </w:rPr>
      </w:pPr>
    </w:p>
    <w:p>
      <w:pPr>
        <w:rPr>
          <w:highlight w:val="none"/>
        </w:rPr>
      </w:pPr>
      <w:r>
        <w:rPr>
          <w:rFonts w:hint="eastAsia"/>
          <w:highlight w:val="none"/>
        </w:rPr>
        <w:t>供应商名称：</w:t>
      </w:r>
      <w:r>
        <w:rPr>
          <w:rFonts w:hint="eastAsia"/>
          <w:bCs/>
          <w:highlight w:val="none"/>
          <w:u w:val="single"/>
        </w:rPr>
        <w:t xml:space="preserve">                    </w:t>
      </w:r>
      <w:r>
        <w:rPr>
          <w:rFonts w:hint="eastAsia"/>
          <w:highlight w:val="none"/>
        </w:rPr>
        <w:t>（单位盖章）</w:t>
      </w:r>
    </w:p>
    <w:p>
      <w:pPr>
        <w:rPr>
          <w:highlight w:val="none"/>
        </w:rPr>
      </w:pPr>
      <w:r>
        <w:rPr>
          <w:rFonts w:hint="eastAsia"/>
          <w:highlight w:val="none"/>
        </w:rPr>
        <w:t>法定代表人（负责人、经营者)或授权代表（签字或加盖个人名章）：</w:t>
      </w:r>
      <w:r>
        <w:rPr>
          <w:rFonts w:hint="eastAsia"/>
          <w:bCs/>
          <w:highlight w:val="none"/>
          <w:u w:val="single"/>
        </w:rPr>
        <w:t xml:space="preserve">                    </w:t>
      </w:r>
      <w:r>
        <w:rPr>
          <w:rFonts w:hint="eastAsia"/>
          <w:highlight w:val="none"/>
        </w:rPr>
        <w:t>。</w:t>
      </w:r>
    </w:p>
    <w:p>
      <w:pPr>
        <w:rPr>
          <w:b/>
          <w:bCs/>
          <w:sz w:val="32"/>
          <w:szCs w:val="32"/>
          <w:highlight w:val="none"/>
        </w:rPr>
      </w:pPr>
      <w:r>
        <w:rPr>
          <w:rFonts w:hint="eastAsia"/>
          <w:bCs/>
          <w:highlight w:val="none"/>
        </w:rPr>
        <w:t>投标日期:</w:t>
      </w:r>
      <w:r>
        <w:rPr>
          <w:rFonts w:hint="eastAsia"/>
          <w:bCs/>
          <w:highlight w:val="none"/>
          <w:u w:val="single"/>
        </w:rPr>
        <w:t xml:space="preserve">     </w:t>
      </w:r>
      <w:r>
        <w:rPr>
          <w:rFonts w:hint="eastAsia"/>
          <w:bCs/>
          <w:highlight w:val="none"/>
        </w:rPr>
        <w:t>年</w:t>
      </w:r>
      <w:r>
        <w:rPr>
          <w:rFonts w:hint="eastAsia"/>
          <w:bCs/>
          <w:highlight w:val="none"/>
          <w:u w:val="single"/>
        </w:rPr>
        <w:t xml:space="preserve">   </w:t>
      </w:r>
      <w:r>
        <w:rPr>
          <w:rFonts w:hint="eastAsia"/>
          <w:bCs/>
          <w:highlight w:val="none"/>
        </w:rPr>
        <w:t>月</w:t>
      </w:r>
      <w:r>
        <w:rPr>
          <w:rFonts w:hint="eastAsia"/>
          <w:bCs/>
          <w:highlight w:val="none"/>
          <w:u w:val="single"/>
        </w:rPr>
        <w:t xml:space="preserve">    </w:t>
      </w:r>
    </w:p>
    <w:p>
      <w:pPr>
        <w:spacing w:line="360" w:lineRule="auto"/>
        <w:jc w:val="center"/>
        <w:rPr>
          <w:b/>
          <w:bCs/>
          <w:sz w:val="32"/>
          <w:szCs w:val="32"/>
          <w:highlight w:val="none"/>
        </w:rPr>
      </w:pPr>
      <w:r>
        <w:rPr>
          <w:rFonts w:hint="eastAsia"/>
          <w:b/>
          <w:bCs/>
          <w:sz w:val="32"/>
          <w:szCs w:val="32"/>
          <w:highlight w:val="none"/>
        </w:rPr>
        <w:br w:type="page"/>
      </w:r>
    </w:p>
    <w:p>
      <w:pPr>
        <w:pStyle w:val="40"/>
        <w:widowControl/>
        <w:numPr>
          <w:ilvl w:val="0"/>
          <w:numId w:val="1"/>
        </w:numPr>
        <w:spacing w:line="360" w:lineRule="auto"/>
        <w:rPr>
          <w:rFonts w:ascii="宋体" w:hAnsi="宋体" w:cs="仿宋"/>
          <w:highlight w:val="none"/>
        </w:rPr>
      </w:pPr>
      <w:bookmarkStart w:id="167" w:name="_Toc22861"/>
      <w:bookmarkStart w:id="168" w:name="_Toc87969898"/>
      <w:bookmarkStart w:id="169" w:name="_Toc32580"/>
      <w:bookmarkStart w:id="170" w:name="_Toc98423928"/>
      <w:bookmarkStart w:id="171" w:name="_Toc67472441"/>
      <w:r>
        <w:rPr>
          <w:rFonts w:hint="eastAsia" w:ascii="宋体" w:hAnsi="宋体" w:cs="仿宋"/>
          <w:highlight w:val="none"/>
        </w:rPr>
        <w:t>资格证明文件</w:t>
      </w:r>
      <w:bookmarkEnd w:id="167"/>
      <w:bookmarkEnd w:id="168"/>
      <w:bookmarkEnd w:id="169"/>
      <w:bookmarkEnd w:id="170"/>
      <w:bookmarkEnd w:id="171"/>
    </w:p>
    <w:p>
      <w:pPr>
        <w:spacing w:line="360" w:lineRule="auto"/>
        <w:rPr>
          <w:highlight w:val="none"/>
        </w:rPr>
      </w:pPr>
    </w:p>
    <w:p>
      <w:pPr>
        <w:spacing w:line="360" w:lineRule="auto"/>
        <w:rPr>
          <w:rFonts w:cs="仿宋"/>
          <w:sz w:val="28"/>
          <w:szCs w:val="28"/>
          <w:highlight w:val="none"/>
        </w:rPr>
      </w:pPr>
      <w:r>
        <w:rPr>
          <w:rFonts w:hint="eastAsia" w:cs="仿宋"/>
          <w:b/>
          <w:kern w:val="2"/>
          <w:sz w:val="28"/>
          <w:szCs w:val="28"/>
          <w:highlight w:val="none"/>
          <w:lang w:bidi="ar"/>
        </w:rPr>
        <w:t>供应商应当提供的资格、资质性及其他类似效力要求的相关证明材料</w:t>
      </w:r>
    </w:p>
    <w:p>
      <w:pPr>
        <w:pStyle w:val="39"/>
        <w:widowControl w:val="0"/>
        <w:spacing w:before="0" w:beforeAutospacing="0" w:after="0" w:afterAutospacing="0" w:line="360" w:lineRule="auto"/>
        <w:jc w:val="both"/>
        <w:rPr>
          <w:rFonts w:cs="仿宋"/>
          <w:b/>
          <w:kern w:val="2"/>
          <w:sz w:val="24"/>
          <w:szCs w:val="24"/>
          <w:highlight w:val="none"/>
          <w:lang w:bidi="ar"/>
        </w:rPr>
      </w:pPr>
      <w:r>
        <w:rPr>
          <w:rFonts w:hint="eastAsia" w:cs="仿宋"/>
          <w:b/>
          <w:kern w:val="2"/>
          <w:sz w:val="24"/>
          <w:szCs w:val="24"/>
          <w:highlight w:val="none"/>
          <w:lang w:bidi="ar"/>
        </w:rPr>
        <w:t>一、一般资格条件</w:t>
      </w:r>
      <w:r>
        <w:rPr>
          <w:rFonts w:hint="eastAsia"/>
          <w:b/>
          <w:sz w:val="24"/>
          <w:highlight w:val="none"/>
        </w:rPr>
        <w:t>要求的相关证明材料</w:t>
      </w:r>
    </w:p>
    <w:p>
      <w:pPr>
        <w:pStyle w:val="145"/>
        <w:adjustRightInd w:val="0"/>
        <w:ind w:firstLine="120" w:firstLineChars="50"/>
        <w:jc w:val="left"/>
        <w:rPr>
          <w:rFonts w:ascii="宋体" w:hAnsi="宋体" w:cs="仿宋"/>
          <w:sz w:val="24"/>
          <w:szCs w:val="24"/>
          <w:highlight w:val="none"/>
        </w:rPr>
      </w:pPr>
      <w:r>
        <w:rPr>
          <w:rFonts w:ascii="宋体" w:hAnsi="宋体" w:cs="仿宋"/>
          <w:sz w:val="24"/>
          <w:szCs w:val="24"/>
          <w:highlight w:val="none"/>
        </w:rPr>
        <w:t>1.具有独立承担民事责任的能力</w:t>
      </w:r>
      <w:r>
        <w:rPr>
          <w:rFonts w:hint="eastAsia" w:ascii="宋体" w:hAnsi="宋体" w:cs="仿宋"/>
          <w:sz w:val="24"/>
          <w:szCs w:val="24"/>
          <w:highlight w:val="none"/>
        </w:rPr>
        <w:t>：</w:t>
      </w:r>
      <w:r>
        <w:rPr>
          <w:rFonts w:hint="eastAsia" w:ascii="宋体" w:hAnsi="宋体"/>
          <w:sz w:val="24"/>
          <w:szCs w:val="24"/>
          <w:highlight w:val="none"/>
        </w:rPr>
        <w:t>提交“统一社会信用代码的营业执照副本”复印件。</w:t>
      </w:r>
    </w:p>
    <w:p>
      <w:pPr>
        <w:pStyle w:val="145"/>
        <w:adjustRightInd w:val="0"/>
        <w:ind w:firstLine="120" w:firstLineChars="50"/>
        <w:jc w:val="left"/>
        <w:rPr>
          <w:rFonts w:ascii="宋体" w:hAnsi="宋体" w:cs="仿宋"/>
          <w:sz w:val="24"/>
          <w:szCs w:val="24"/>
          <w:highlight w:val="none"/>
        </w:rPr>
      </w:pPr>
      <w:r>
        <w:rPr>
          <w:rFonts w:ascii="宋体" w:hAnsi="宋体" w:cs="仿宋"/>
          <w:sz w:val="24"/>
          <w:szCs w:val="24"/>
          <w:highlight w:val="none"/>
        </w:rPr>
        <w:t>2.具有良好的商业信誉和健全的财务会计制度</w:t>
      </w:r>
      <w:r>
        <w:rPr>
          <w:rFonts w:hint="eastAsia" w:ascii="宋体" w:hAnsi="宋体" w:cs="仿宋"/>
          <w:sz w:val="24"/>
          <w:szCs w:val="24"/>
          <w:highlight w:val="none"/>
        </w:rPr>
        <w:t>：</w:t>
      </w:r>
      <w:r>
        <w:rPr>
          <w:rFonts w:hint="eastAsia" w:ascii="宋体" w:hAnsi="宋体"/>
          <w:sz w:val="24"/>
          <w:szCs w:val="24"/>
          <w:highlight w:val="none"/>
        </w:rPr>
        <w:t>提供承诺。</w:t>
      </w:r>
    </w:p>
    <w:p>
      <w:pPr>
        <w:spacing w:after="50" w:line="360" w:lineRule="auto"/>
        <w:ind w:firstLine="120" w:firstLineChars="50"/>
        <w:rPr>
          <w:highlight w:val="none"/>
        </w:rPr>
      </w:pPr>
      <w:r>
        <w:rPr>
          <w:rFonts w:cs="仿宋"/>
          <w:highlight w:val="none"/>
        </w:rPr>
        <w:t>3.具有履行合同所必须的设备和专业技术能力</w:t>
      </w:r>
      <w:r>
        <w:rPr>
          <w:rFonts w:hint="eastAsia" w:cs="仿宋"/>
          <w:highlight w:val="none"/>
        </w:rPr>
        <w:t>：</w:t>
      </w:r>
      <w:r>
        <w:rPr>
          <w:rFonts w:hint="eastAsia"/>
          <w:highlight w:val="none"/>
        </w:rPr>
        <w:t>提供承诺。</w:t>
      </w:r>
    </w:p>
    <w:p>
      <w:pPr>
        <w:spacing w:after="50" w:line="360" w:lineRule="auto"/>
        <w:ind w:firstLine="120" w:firstLineChars="50"/>
        <w:rPr>
          <w:highlight w:val="none"/>
        </w:rPr>
      </w:pPr>
      <w:r>
        <w:rPr>
          <w:rFonts w:cs="仿宋"/>
          <w:highlight w:val="none"/>
        </w:rPr>
        <w:t>4.具有依法缴纳税收和社会保障资金的良好记录</w:t>
      </w:r>
      <w:r>
        <w:rPr>
          <w:rFonts w:hint="eastAsia" w:cs="仿宋"/>
          <w:highlight w:val="none"/>
        </w:rPr>
        <w:t xml:space="preserve">： </w:t>
      </w:r>
      <w:r>
        <w:rPr>
          <w:rFonts w:cs="仿宋"/>
          <w:highlight w:val="none"/>
        </w:rPr>
        <w:t xml:space="preserve"> </w:t>
      </w:r>
      <w:r>
        <w:rPr>
          <w:rFonts w:hint="eastAsia" w:cs="仿宋"/>
          <w:highlight w:val="none"/>
        </w:rPr>
        <w:t>提供承诺。</w:t>
      </w:r>
    </w:p>
    <w:p>
      <w:pPr>
        <w:spacing w:after="50" w:line="360" w:lineRule="auto"/>
        <w:ind w:firstLine="120" w:firstLineChars="50"/>
        <w:rPr>
          <w:rFonts w:cs="仿宋"/>
          <w:highlight w:val="none"/>
        </w:rPr>
      </w:pPr>
      <w:r>
        <w:rPr>
          <w:rFonts w:cs="仿宋"/>
          <w:highlight w:val="none"/>
        </w:rPr>
        <w:t>5.参加本次采购活动前三年内，在经营活动中没有重大违法记录</w:t>
      </w:r>
      <w:r>
        <w:rPr>
          <w:rFonts w:hint="eastAsia" w:cs="仿宋"/>
          <w:highlight w:val="none"/>
        </w:rPr>
        <w:t>：提供承诺。</w:t>
      </w:r>
    </w:p>
    <w:p>
      <w:pPr>
        <w:pStyle w:val="145"/>
        <w:adjustRightInd w:val="0"/>
        <w:snapToGrid w:val="0"/>
        <w:ind w:firstLine="199" w:firstLineChars="83"/>
        <w:rPr>
          <w:rFonts w:ascii="宋体" w:hAnsi="宋体" w:cs="仿宋"/>
          <w:sz w:val="24"/>
          <w:szCs w:val="24"/>
          <w:highlight w:val="none"/>
        </w:rPr>
      </w:pPr>
      <w:r>
        <w:rPr>
          <w:rFonts w:ascii="宋体" w:hAnsi="宋体" w:cs="仿宋"/>
          <w:sz w:val="24"/>
          <w:szCs w:val="24"/>
          <w:highlight w:val="none"/>
        </w:rPr>
        <w:t>6.法律、行政法规规定的其他条</w:t>
      </w:r>
      <w:r>
        <w:rPr>
          <w:rFonts w:ascii="宋体" w:hAnsi="宋体" w:cs="仿宋"/>
          <w:kern w:val="0"/>
          <w:sz w:val="24"/>
          <w:szCs w:val="24"/>
          <w:highlight w:val="none"/>
        </w:rPr>
        <w:t>件</w:t>
      </w:r>
      <w:r>
        <w:rPr>
          <w:rFonts w:hint="eastAsia" w:ascii="宋体" w:hAnsi="宋体" w:cs="仿宋"/>
          <w:kern w:val="0"/>
          <w:sz w:val="24"/>
          <w:szCs w:val="24"/>
          <w:highlight w:val="none"/>
        </w:rPr>
        <w:t>:</w:t>
      </w:r>
      <w:r>
        <w:rPr>
          <w:rFonts w:ascii="宋体" w:hAnsi="宋体" w:cs="仿宋"/>
          <w:kern w:val="0"/>
          <w:sz w:val="24"/>
          <w:szCs w:val="24"/>
          <w:highlight w:val="none"/>
        </w:rPr>
        <w:t xml:space="preserve"> </w:t>
      </w:r>
      <w:r>
        <w:rPr>
          <w:rFonts w:hint="eastAsia" w:ascii="宋体" w:hAnsi="宋体" w:cs="仿宋"/>
          <w:kern w:val="0"/>
          <w:sz w:val="24"/>
          <w:szCs w:val="24"/>
          <w:highlight w:val="none"/>
        </w:rPr>
        <w:t>提供承诺。</w:t>
      </w:r>
    </w:p>
    <w:p>
      <w:pPr>
        <w:pStyle w:val="145"/>
        <w:adjustRightInd w:val="0"/>
        <w:snapToGrid w:val="0"/>
        <w:ind w:firstLine="199" w:firstLineChars="83"/>
        <w:rPr>
          <w:rFonts w:ascii="宋体" w:hAnsi="宋体" w:cs="仿宋"/>
          <w:sz w:val="24"/>
          <w:szCs w:val="24"/>
          <w:highlight w:val="none"/>
        </w:rPr>
      </w:pPr>
      <w:r>
        <w:rPr>
          <w:rFonts w:ascii="宋体" w:hAnsi="宋体" w:cs="仿宋"/>
          <w:sz w:val="24"/>
          <w:szCs w:val="24"/>
          <w:highlight w:val="none"/>
        </w:rPr>
        <w:t>7.采购人根据采购项目提出的特殊条件</w:t>
      </w:r>
      <w:r>
        <w:rPr>
          <w:rFonts w:hint="eastAsia" w:ascii="宋体" w:hAnsi="宋体" w:cs="仿宋"/>
          <w:sz w:val="24"/>
          <w:szCs w:val="24"/>
          <w:highlight w:val="none"/>
        </w:rPr>
        <w:t>：</w:t>
      </w:r>
    </w:p>
    <w:p>
      <w:pPr>
        <w:pStyle w:val="145"/>
        <w:adjustRightInd w:val="0"/>
        <w:snapToGrid w:val="0"/>
        <w:ind w:firstLine="240" w:firstLineChars="10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.1</w:t>
      </w:r>
      <w:r>
        <w:rPr>
          <w:rFonts w:hint="eastAsia" w:ascii="宋体" w:hAnsi="宋体" w:cs="仿宋"/>
          <w:sz w:val="24"/>
          <w:szCs w:val="24"/>
          <w:highlight w:val="none"/>
        </w:rPr>
        <w:t>供应商所提供不锈钢管材必须具有省级及以上卫生部门颁发国产涉及饮用水卫生安全产品卫生许可批件。</w:t>
      </w:r>
      <w:r>
        <w:rPr>
          <w:rFonts w:hint="eastAsia" w:ascii="宋体" w:hAnsi="宋体" w:cs="仿宋"/>
          <w:b/>
          <w:bCs/>
          <w:sz w:val="24"/>
          <w:szCs w:val="24"/>
          <w:highlight w:val="none"/>
        </w:rPr>
        <w:t>(提供相应证明材料)。</w:t>
      </w:r>
    </w:p>
    <w:p>
      <w:pPr>
        <w:pStyle w:val="145"/>
        <w:adjustRightInd w:val="0"/>
        <w:snapToGrid w:val="0"/>
        <w:ind w:firstLine="240" w:firstLineChars="100"/>
        <w:rPr>
          <w:rFonts w:ascii="宋体" w:hAnsi="宋体" w:cs="仿宋"/>
          <w:sz w:val="24"/>
          <w:szCs w:val="24"/>
          <w:highlight w:val="none"/>
        </w:rPr>
      </w:pPr>
      <w:r>
        <w:rPr>
          <w:rFonts w:hint="eastAsia" w:ascii="宋体" w:hAnsi="宋体" w:cs="仿宋"/>
          <w:sz w:val="24"/>
          <w:szCs w:val="24"/>
          <w:highlight w:val="none"/>
        </w:rPr>
        <w:t>7</w:t>
      </w:r>
      <w:r>
        <w:rPr>
          <w:rFonts w:ascii="宋体" w:hAnsi="宋体" w:cs="仿宋"/>
          <w:sz w:val="24"/>
          <w:szCs w:val="24"/>
          <w:highlight w:val="none"/>
        </w:rPr>
        <w:t>.2</w:t>
      </w:r>
      <w:r>
        <w:rPr>
          <w:rFonts w:hint="eastAsia" w:ascii="宋体" w:hAnsi="宋体" w:cs="仿宋"/>
          <w:sz w:val="24"/>
          <w:szCs w:val="24"/>
          <w:highlight w:val="none"/>
        </w:rPr>
        <w:t>供应商单位及其现任法定代表人、主要负责人参加本次采购活动前三年内无行贿犯罪记录：</w:t>
      </w:r>
      <w:r>
        <w:rPr>
          <w:rFonts w:hint="eastAsia" w:ascii="宋体" w:hAnsi="宋体" w:cs="仿宋"/>
          <w:kern w:val="0"/>
          <w:sz w:val="24"/>
          <w:szCs w:val="24"/>
          <w:highlight w:val="none"/>
        </w:rPr>
        <w:t>提供承诺。</w:t>
      </w:r>
    </w:p>
    <w:p>
      <w:pPr>
        <w:pStyle w:val="145"/>
        <w:adjustRightInd w:val="0"/>
        <w:snapToGrid w:val="0"/>
        <w:ind w:firstLine="199" w:firstLineChars="83"/>
        <w:rPr>
          <w:highlight w:val="none"/>
        </w:rPr>
      </w:pPr>
      <w:r>
        <w:rPr>
          <w:rFonts w:hint="eastAsia" w:ascii="宋体" w:hAnsi="宋体" w:cs="仿宋"/>
          <w:sz w:val="24"/>
          <w:szCs w:val="24"/>
          <w:highlight w:val="none"/>
        </w:rPr>
        <w:t>7</w:t>
      </w:r>
      <w:r>
        <w:rPr>
          <w:rFonts w:ascii="宋体" w:hAnsi="宋体" w:cs="仿宋"/>
          <w:sz w:val="24"/>
          <w:szCs w:val="24"/>
          <w:highlight w:val="none"/>
        </w:rPr>
        <w:t>.3本次</w:t>
      </w:r>
      <w:r>
        <w:rPr>
          <w:rFonts w:hint="eastAsia" w:ascii="宋体" w:hAnsi="宋体" w:cs="仿宋"/>
          <w:sz w:val="24"/>
          <w:szCs w:val="24"/>
          <w:highlight w:val="none"/>
        </w:rPr>
        <w:t>采购</w:t>
      </w:r>
      <w:r>
        <w:rPr>
          <w:rFonts w:ascii="宋体" w:hAnsi="宋体" w:cs="仿宋"/>
          <w:sz w:val="24"/>
          <w:szCs w:val="24"/>
          <w:highlight w:val="none"/>
        </w:rPr>
        <w:t>不允许联合体</w:t>
      </w:r>
      <w:r>
        <w:rPr>
          <w:rFonts w:hint="eastAsia" w:ascii="宋体" w:hAnsi="宋体" w:cs="仿宋"/>
          <w:sz w:val="24"/>
          <w:szCs w:val="24"/>
          <w:highlight w:val="none"/>
        </w:rPr>
        <w:t>参与竞争性谈判：</w:t>
      </w:r>
      <w:r>
        <w:rPr>
          <w:rFonts w:hint="eastAsia"/>
          <w:highlight w:val="none"/>
        </w:rPr>
        <w:t>提供承诺。</w:t>
      </w:r>
    </w:p>
    <w:p>
      <w:pPr>
        <w:pStyle w:val="39"/>
        <w:widowControl w:val="0"/>
        <w:spacing w:before="0" w:beforeAutospacing="0" w:after="0" w:afterAutospacing="0" w:line="360" w:lineRule="auto"/>
        <w:ind w:firstLine="480" w:firstLineChars="200"/>
        <w:jc w:val="both"/>
        <w:rPr>
          <w:rFonts w:cs="仿宋"/>
          <w:kern w:val="2"/>
          <w:sz w:val="24"/>
          <w:szCs w:val="24"/>
          <w:highlight w:val="none"/>
          <w:lang w:bidi="ar"/>
        </w:rPr>
      </w:pPr>
    </w:p>
    <w:p>
      <w:pPr>
        <w:pStyle w:val="39"/>
        <w:widowControl w:val="0"/>
        <w:spacing w:before="0" w:beforeAutospacing="0" w:after="0" w:afterAutospacing="0" w:line="360" w:lineRule="auto"/>
        <w:ind w:firstLine="480" w:firstLineChars="200"/>
        <w:jc w:val="both"/>
        <w:rPr>
          <w:rFonts w:cs="仿宋"/>
          <w:sz w:val="24"/>
          <w:szCs w:val="24"/>
          <w:highlight w:val="none"/>
        </w:rPr>
      </w:pPr>
    </w:p>
    <w:p>
      <w:pPr>
        <w:widowControl w:val="0"/>
        <w:spacing w:line="360" w:lineRule="auto"/>
        <w:jc w:val="both"/>
        <w:rPr>
          <w:rFonts w:cs="仿宋"/>
          <w:b/>
          <w:bCs/>
          <w:highlight w:val="none"/>
        </w:rPr>
      </w:pPr>
      <w:r>
        <w:rPr>
          <w:rFonts w:hint="eastAsia" w:cs="仿宋"/>
          <w:b/>
          <w:bCs/>
          <w:kern w:val="2"/>
          <w:highlight w:val="none"/>
          <w:lang w:bidi="ar"/>
        </w:rPr>
        <w:t>注：以上要求的资料复印件均须加盖供应商单位的公章（鲜章），如证明材料是双面的，在单面加盖公章，不影响响应文件的实质有效性。</w:t>
      </w:r>
    </w:p>
    <w:p>
      <w:pPr>
        <w:spacing w:line="360" w:lineRule="auto"/>
        <w:rPr>
          <w:highlight w:val="none"/>
        </w:rPr>
      </w:pPr>
    </w:p>
    <w:p>
      <w:pPr>
        <w:pStyle w:val="40"/>
        <w:numPr>
          <w:ilvl w:val="0"/>
          <w:numId w:val="1"/>
        </w:numPr>
        <w:spacing w:line="360" w:lineRule="auto"/>
        <w:rPr>
          <w:rFonts w:ascii="宋体" w:hAnsi="宋体" w:cs="仿宋"/>
          <w:highlight w:val="none"/>
        </w:rPr>
      </w:pPr>
      <w:bookmarkStart w:id="172" w:name="_Toc19258"/>
      <w:bookmarkStart w:id="173" w:name="_Toc1662"/>
      <w:bookmarkStart w:id="174" w:name="_Toc10666"/>
      <w:r>
        <w:rPr>
          <w:rFonts w:ascii="宋体" w:hAnsi="宋体" w:cs="仿宋"/>
          <w:highlight w:val="none"/>
        </w:rPr>
        <w:br w:type="page"/>
      </w:r>
      <w:bookmarkStart w:id="175" w:name="_Toc98423929"/>
      <w:r>
        <w:rPr>
          <w:rFonts w:hint="eastAsia" w:ascii="宋体" w:hAnsi="宋体" w:cs="仿宋"/>
          <w:highlight w:val="none"/>
        </w:rPr>
        <w:t>采购项目技术、服务</w:t>
      </w:r>
      <w:bookmarkEnd w:id="172"/>
      <w:bookmarkStart w:id="176" w:name="_Toc7351"/>
      <w:r>
        <w:rPr>
          <w:rFonts w:hint="eastAsia" w:ascii="宋体" w:hAnsi="宋体" w:cs="仿宋"/>
          <w:highlight w:val="none"/>
        </w:rPr>
        <w:t>及其他商务要求</w:t>
      </w:r>
      <w:bookmarkEnd w:id="173"/>
      <w:bookmarkEnd w:id="174"/>
      <w:bookmarkEnd w:id="175"/>
      <w:bookmarkEnd w:id="176"/>
    </w:p>
    <w:p>
      <w:pPr>
        <w:pStyle w:val="4"/>
        <w:keepNext w:val="0"/>
        <w:keepLines w:val="0"/>
        <w:spacing w:before="0" w:after="0" w:line="360" w:lineRule="auto"/>
        <w:ind w:firstLine="689" w:firstLineChars="245"/>
        <w:jc w:val="left"/>
        <w:rPr>
          <w:rFonts w:ascii="宋体" w:hAnsi="宋体" w:eastAsia="宋体" w:cs="仿宋"/>
          <w:szCs w:val="28"/>
          <w:highlight w:val="none"/>
        </w:rPr>
      </w:pPr>
      <w:r>
        <w:rPr>
          <w:rFonts w:hint="eastAsia" w:ascii="宋体" w:hAnsi="宋体" w:eastAsia="宋体" w:cs="仿宋"/>
          <w:szCs w:val="28"/>
          <w:highlight w:val="none"/>
        </w:rPr>
        <w:t>（注：根据项目实际情况确定哪些条款标注“</w:t>
      </w:r>
      <w:r>
        <w:rPr>
          <w:rFonts w:hint="eastAsia" w:ascii="宋体" w:hAnsi="宋体" w:eastAsia="宋体" w:cs="微软雅黑"/>
          <w:szCs w:val="28"/>
          <w:highlight w:val="none"/>
        </w:rPr>
        <w:t>★</w:t>
      </w:r>
      <w:r>
        <w:rPr>
          <w:rFonts w:hint="eastAsia" w:ascii="宋体" w:hAnsi="宋体" w:eastAsia="宋体" w:cs="仿宋"/>
          <w:szCs w:val="28"/>
          <w:highlight w:val="none"/>
        </w:rPr>
        <w:t>”号）</w:t>
      </w:r>
    </w:p>
    <w:p>
      <w:pPr>
        <w:pStyle w:val="150"/>
        <w:spacing w:line="360" w:lineRule="auto"/>
        <w:rPr>
          <w:rFonts w:ascii="宋体" w:hAnsi="宋体" w:cs="宋体"/>
          <w:b/>
          <w:color w:val="000000"/>
          <w:sz w:val="24"/>
          <w:szCs w:val="24"/>
          <w:highlight w:val="none"/>
        </w:rPr>
      </w:pPr>
      <w:r>
        <w:rPr>
          <w:rFonts w:hint="eastAsia" w:ascii="宋体" w:hAnsi="宋体" w:cs="宋体"/>
          <w:b/>
          <w:color w:val="000000"/>
          <w:sz w:val="24"/>
          <w:szCs w:val="24"/>
          <w:highlight w:val="none"/>
        </w:rPr>
        <w:t>（一）工程基本情况</w:t>
      </w:r>
    </w:p>
    <w:p>
      <w:pPr>
        <w:spacing w:line="360" w:lineRule="auto"/>
        <w:ind w:firstLine="480" w:firstLineChars="200"/>
        <w:rPr>
          <w:color w:val="000000"/>
          <w:highlight w:val="none"/>
        </w:rPr>
      </w:pPr>
      <w:r>
        <w:rPr>
          <w:rFonts w:hint="eastAsia"/>
          <w:color w:val="000000"/>
          <w:highlight w:val="none"/>
        </w:rPr>
        <w:t>1、工程名称:什邡国润供水有限公司星悦城二次供水成套设备供应和安装工程项目。</w:t>
      </w:r>
    </w:p>
    <w:p>
      <w:pPr>
        <w:spacing w:line="360" w:lineRule="auto"/>
        <w:ind w:firstLine="480" w:firstLineChars="200"/>
        <w:rPr>
          <w:color w:val="000000"/>
          <w:highlight w:val="none"/>
        </w:rPr>
      </w:pPr>
      <w:r>
        <w:rPr>
          <w:rFonts w:hint="eastAsia"/>
          <w:color w:val="000000"/>
          <w:highlight w:val="none"/>
        </w:rPr>
        <w:t>2、施工范围：技术参数的复核和系统选型设计，泵房砌筑装修，泵房四周界外0.5米以内所有管道及附件、设备、各种电线线缆的供应及安装调试。</w:t>
      </w:r>
    </w:p>
    <w:p>
      <w:pPr>
        <w:spacing w:line="360" w:lineRule="auto"/>
        <w:ind w:firstLine="480" w:firstLineChars="200"/>
        <w:rPr>
          <w:color w:val="000000"/>
          <w:highlight w:val="none"/>
        </w:rPr>
      </w:pPr>
      <w:r>
        <w:rPr>
          <w:rFonts w:hint="eastAsia"/>
          <w:color w:val="000000"/>
          <w:highlight w:val="none"/>
        </w:rPr>
        <w:t>3、工期：5</w:t>
      </w:r>
      <w:r>
        <w:rPr>
          <w:color w:val="000000"/>
          <w:highlight w:val="none"/>
        </w:rPr>
        <w:t>0</w:t>
      </w:r>
      <w:r>
        <w:rPr>
          <w:rFonts w:hint="eastAsia"/>
          <w:color w:val="000000"/>
          <w:highlight w:val="none"/>
        </w:rPr>
        <w:t>日历天。</w:t>
      </w:r>
    </w:p>
    <w:p>
      <w:pPr>
        <w:spacing w:line="360" w:lineRule="auto"/>
        <w:ind w:firstLine="480" w:firstLineChars="200"/>
        <w:rPr>
          <w:color w:val="000000"/>
          <w:highlight w:val="none"/>
        </w:rPr>
      </w:pPr>
      <w:r>
        <w:rPr>
          <w:rFonts w:hint="eastAsia"/>
          <w:color w:val="000000"/>
          <w:highlight w:val="none"/>
        </w:rPr>
        <w:t>4、市政配套：该区域市政给水管网可提供一个水头，项目</w:t>
      </w:r>
      <w:r>
        <w:rPr>
          <w:rFonts w:hint="eastAsia"/>
          <w:color w:val="000000"/>
          <w:highlight w:val="none"/>
          <w:lang w:val="en-US" w:eastAsia="zh-CN"/>
        </w:rPr>
        <w:t>甲</w:t>
      </w:r>
      <w:r>
        <w:rPr>
          <w:rFonts w:hint="eastAsia"/>
          <w:color w:val="000000"/>
          <w:highlight w:val="none"/>
        </w:rPr>
        <w:t>方可提供DN200主管道分的DN200水头一个,均压为0.28mpa。</w:t>
      </w:r>
    </w:p>
    <w:p>
      <w:pPr>
        <w:spacing w:line="360" w:lineRule="auto"/>
        <w:ind w:firstLine="480" w:firstLineChars="200"/>
        <w:rPr>
          <w:color w:val="000000"/>
          <w:highlight w:val="none"/>
        </w:rPr>
      </w:pPr>
      <w:r>
        <w:rPr>
          <w:rFonts w:hint="eastAsia"/>
          <w:color w:val="000000"/>
          <w:highlight w:val="none"/>
        </w:rPr>
        <w:t>5、工程参数：见业主提供附件，贵厂根据国家现行规范和自已设备特点做深度设计和设备选型，但最低应达到什邡居民生活二次供水设施的要求。</w:t>
      </w:r>
    </w:p>
    <w:p>
      <w:pPr>
        <w:tabs>
          <w:tab w:val="left" w:pos="605"/>
        </w:tabs>
        <w:spacing w:line="360" w:lineRule="auto"/>
        <w:rPr>
          <w:b/>
          <w:bCs/>
          <w:highlight w:val="none"/>
        </w:rPr>
      </w:pPr>
      <w:r>
        <w:rPr>
          <w:rFonts w:hint="eastAsia"/>
          <w:b/>
          <w:bCs/>
          <w:color w:val="000000"/>
          <w:highlight w:val="none"/>
        </w:rPr>
        <w:t>（二）泵房建设要求</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1、泵房设置</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1.1、</w:t>
      </w:r>
      <w:r>
        <w:rPr>
          <w:rFonts w:hint="eastAsia"/>
          <w:color w:val="333333"/>
          <w:highlight w:val="none"/>
          <w:shd w:val="clear" w:color="auto" w:fill="FFFFFF"/>
        </w:rPr>
        <w:t>泵房面积应符合设计文件的相关要求。单套设备泵房面积应满足所选设备、管网、水箱等参数相匹配的使用面积。泵房的大小由楼盘建设方应按设计图纸施工，确保泵房面积符合设计图纸要求，如有差异及时与楼盘建设方协商确认二供设计方案。</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1.2、</w:t>
      </w:r>
      <w:r>
        <w:rPr>
          <w:rFonts w:hint="eastAsia"/>
          <w:color w:val="333333"/>
          <w:highlight w:val="none"/>
          <w:shd w:val="clear" w:color="auto" w:fill="FFFFFF"/>
        </w:rPr>
        <w:t>泵房应独立设置，不得同消防等设施共用泵房，选址不应毗邻起居室或卧室。宜设置在居住建筑之外或居住建筑的地下二层，当居住建筑首层为公建时，可设置在地下一层。泵房只能独立安装二次生活供水设备，其它任何与二次生活供水无关的设备不得安装在泵房内，否则不予通水。</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1.3、</w:t>
      </w:r>
      <w:r>
        <w:rPr>
          <w:rFonts w:hint="eastAsia"/>
          <w:color w:val="333333"/>
          <w:highlight w:val="none"/>
          <w:shd w:val="clear" w:color="auto" w:fill="FFFFFF"/>
        </w:rPr>
        <w:t>泵房屋顶无滴水、漏水，以防造成设备损坏或泵房积水；泵房应设有排水沟，泵房内地面应有不小于0.01的坡度坡向排水设施（开发商配套），集水井宜设置在泵房内，集水井内设置水位探头（二供供应商配套），连入加压设备控制系统或独立控制系统。</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所有设备在安装前，客户应按泵房要求执行，以便设备进场。</w:t>
      </w:r>
    </w:p>
    <w:p>
      <w:pPr>
        <w:numPr>
          <w:ilvl w:val="0"/>
          <w:numId w:val="4"/>
        </w:numPr>
        <w:spacing w:line="360" w:lineRule="auto"/>
        <w:ind w:left="-2" w:leftChars="0" w:firstLine="482" w:firstLineChars="0"/>
        <w:rPr>
          <w:color w:val="333333"/>
          <w:highlight w:val="none"/>
          <w:shd w:val="clear" w:color="auto" w:fill="FFFFFF"/>
        </w:rPr>
      </w:pPr>
      <w:bookmarkStart w:id="177" w:name="_Toc8768"/>
      <w:bookmarkStart w:id="178" w:name="_Toc5373"/>
      <w:bookmarkStart w:id="179" w:name="_Toc5944"/>
      <w:bookmarkStart w:id="180" w:name="_Toc9339"/>
      <w:bookmarkStart w:id="181" w:name="_Toc31213"/>
      <w:r>
        <w:rPr>
          <w:rFonts w:hint="eastAsia"/>
          <w:b/>
          <w:bCs/>
          <w:color w:val="333333"/>
          <w:highlight w:val="none"/>
          <w:shd w:val="clear" w:color="auto" w:fill="FFFFFF"/>
        </w:rPr>
        <w:t>电源设置</w:t>
      </w:r>
      <w:bookmarkEnd w:id="177"/>
      <w:bookmarkEnd w:id="178"/>
      <w:bookmarkEnd w:id="179"/>
      <w:bookmarkEnd w:id="180"/>
      <w:bookmarkEnd w:id="181"/>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配置双电源柜（开发商配套），由</w:t>
      </w:r>
      <w:r>
        <w:rPr>
          <w:rFonts w:hint="eastAsia"/>
          <w:color w:val="333333"/>
          <w:highlight w:val="none"/>
          <w:shd w:val="clear" w:color="auto" w:fill="FFFFFF"/>
        </w:rPr>
        <w:fldChar w:fldCharType="begin"/>
      </w:r>
      <w:r>
        <w:rPr>
          <w:rFonts w:hint="eastAsia"/>
          <w:color w:val="333333"/>
          <w:highlight w:val="none"/>
          <w:shd w:val="clear" w:color="auto" w:fill="FFFFFF"/>
        </w:rPr>
        <w:instrText xml:space="preserve"> HYPERLINK "https://baike.baidu.com/item/%E5%8F%8C%E7%94%B5%E6%BA%90%E8%87%AA%E5%8A%A8%E5%88%87%E6%8D%A2%E8%A3%85%E7%BD%AE/18883816" \t "https://baike.baidu.com/item/%E5%8F%8C%E7%94%B5%E6%BA%90%E6%8E%A7%E5%88%B6%E6%9F%9C/_blank" </w:instrText>
      </w:r>
      <w:r>
        <w:rPr>
          <w:rFonts w:hint="eastAsia"/>
          <w:color w:val="333333"/>
          <w:highlight w:val="none"/>
          <w:shd w:val="clear" w:color="auto" w:fill="FFFFFF"/>
        </w:rPr>
        <w:fldChar w:fldCharType="separate"/>
      </w:r>
      <w:r>
        <w:rPr>
          <w:rFonts w:hint="eastAsia"/>
          <w:color w:val="333333"/>
          <w:highlight w:val="none"/>
          <w:shd w:val="clear" w:color="auto" w:fill="FFFFFF"/>
        </w:rPr>
        <w:t>双电源自动切换装置</w:t>
      </w:r>
      <w:r>
        <w:rPr>
          <w:rFonts w:hint="eastAsia"/>
          <w:color w:val="333333"/>
          <w:highlight w:val="none"/>
          <w:shd w:val="clear" w:color="auto" w:fill="FFFFFF"/>
        </w:rPr>
        <w:fldChar w:fldCharType="end"/>
      </w:r>
      <w:r>
        <w:rPr>
          <w:rFonts w:hint="eastAsia"/>
          <w:color w:val="333333"/>
          <w:highlight w:val="none"/>
          <w:shd w:val="clear" w:color="auto" w:fill="FFFFFF"/>
        </w:rPr>
        <w:t>组成，可根据需要在常用电源与</w:t>
      </w:r>
      <w:r>
        <w:rPr>
          <w:highlight w:val="none"/>
        </w:rPr>
        <w:fldChar w:fldCharType="begin"/>
      </w:r>
      <w:r>
        <w:rPr>
          <w:highlight w:val="none"/>
        </w:rPr>
        <w:instrText xml:space="preserve"> HYPERLINK "https://baike.baidu.com/item/%E5%A4%87%E7%94%A8%E7%94%B5%E6%BA%90/10770536" \t "https://baike.baidu.com/item/%E5%8F%8C%E7%94%B5%E6%BA%90%E6%8E%A7%E5%88%B6%E6%9F%9C/_blank" </w:instrText>
      </w:r>
      <w:r>
        <w:rPr>
          <w:highlight w:val="none"/>
        </w:rPr>
        <w:fldChar w:fldCharType="separate"/>
      </w:r>
      <w:r>
        <w:rPr>
          <w:rFonts w:hint="eastAsia"/>
          <w:color w:val="333333"/>
          <w:highlight w:val="none"/>
          <w:shd w:val="clear" w:color="auto" w:fill="FFFFFF"/>
        </w:rPr>
        <w:t>备用电源</w:t>
      </w:r>
      <w:r>
        <w:rPr>
          <w:rFonts w:hint="eastAsia"/>
          <w:color w:val="333333"/>
          <w:highlight w:val="none"/>
          <w:shd w:val="clear" w:color="auto" w:fill="FFFFFF"/>
        </w:rPr>
        <w:fldChar w:fldCharType="end"/>
      </w:r>
      <w:r>
        <w:rPr>
          <w:rFonts w:hint="eastAsia"/>
          <w:color w:val="333333"/>
          <w:highlight w:val="none"/>
          <w:shd w:val="clear" w:color="auto" w:fill="FFFFFF"/>
        </w:rPr>
        <w:t>之间自动切换，保证供电的可靠性和连续性。泵房内电源应采用三相五线制，配电功率不小于设备的额定功率；输入电源未端应安装塑料外壳式断路器。泵房应有可贸易结算的独立用电计量装置。</w:t>
      </w:r>
    </w:p>
    <w:p>
      <w:pPr>
        <w:spacing w:line="360" w:lineRule="auto"/>
        <w:ind w:firstLine="482" w:firstLineChars="200"/>
        <w:rPr>
          <w:b/>
          <w:bCs/>
          <w:color w:val="333333"/>
          <w:highlight w:val="none"/>
          <w:shd w:val="clear" w:color="auto" w:fill="FFFFFF"/>
        </w:rPr>
      </w:pPr>
      <w:bookmarkStart w:id="182" w:name="_Toc10181"/>
      <w:bookmarkStart w:id="183" w:name="_Toc20017"/>
      <w:bookmarkStart w:id="184" w:name="_Toc14313"/>
      <w:bookmarkStart w:id="185" w:name="_Toc5711"/>
      <w:bookmarkStart w:id="186" w:name="_Toc4520"/>
      <w:r>
        <w:rPr>
          <w:rFonts w:hint="eastAsia"/>
          <w:b/>
          <w:bCs/>
          <w:color w:val="333333"/>
          <w:highlight w:val="none"/>
          <w:shd w:val="clear" w:color="auto" w:fill="FFFFFF"/>
        </w:rPr>
        <w:t>3、泵房装修及其他设备设施</w:t>
      </w:r>
      <w:bookmarkEnd w:id="182"/>
      <w:bookmarkEnd w:id="183"/>
      <w:bookmarkEnd w:id="184"/>
      <w:bookmarkEnd w:id="185"/>
      <w:bookmarkEnd w:id="186"/>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3.1、</w:t>
      </w:r>
      <w:r>
        <w:rPr>
          <w:rFonts w:hint="eastAsia"/>
          <w:color w:val="333333"/>
          <w:highlight w:val="none"/>
          <w:shd w:val="clear" w:color="auto" w:fill="FFFFFF"/>
        </w:rPr>
        <w:t>泵房的内墙，地面应选用符合环保要求，易清洁的材料铺砌或涂覆，地面及设备基座铺砌应采用防滑地砖，墙面应铺设不低于1m高度的墙面砖，并有减振防噪措施。泵房环境噪声应符合国家现行标准《声环境质量标准》GB3096和《民用建筑隔声设计规范》GBJ118的规定。泵房内应整洁。严禁存放易燃、易爆，腐蚀性及可能造成环境污染的物品。</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3.2、</w:t>
      </w:r>
      <w:r>
        <w:rPr>
          <w:rFonts w:hint="eastAsia"/>
          <w:color w:val="333333"/>
          <w:highlight w:val="none"/>
          <w:shd w:val="clear" w:color="auto" w:fill="FFFFFF"/>
        </w:rPr>
        <w:t>泵房应安装防火防盗门及格栅式通风门，门宽1.5米及以上，其尺寸应满足搬运最大设备的需要，窗户及通风孔应设防护格栅式网罩。泵房大门应预留机械锁加锁位置，保证长时间停电情况下，通过机械锁具对泵房实施安全保护。安装门禁系统。</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3.3、</w:t>
      </w:r>
      <w:r>
        <w:rPr>
          <w:rFonts w:hint="eastAsia"/>
          <w:color w:val="333333"/>
          <w:highlight w:val="none"/>
          <w:shd w:val="clear" w:color="auto" w:fill="FFFFFF"/>
        </w:rPr>
        <w:t>泵房应设立排风扇，除湿设备。保持通风、干燥。环境温度不超过45℃，相对湿度不超过95%，二次供水独立泵房的排水、通风设施同外部环境沟通处应设置隔离网。</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3.4、</w:t>
      </w:r>
      <w:r>
        <w:rPr>
          <w:rFonts w:hint="eastAsia"/>
          <w:color w:val="333333"/>
          <w:highlight w:val="none"/>
          <w:shd w:val="clear" w:color="auto" w:fill="FFFFFF"/>
        </w:rPr>
        <w:t>排水沟及集水坑加装盖板。</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3.5、</w:t>
      </w:r>
      <w:r>
        <w:rPr>
          <w:rFonts w:hint="eastAsia"/>
          <w:color w:val="333333"/>
          <w:highlight w:val="none"/>
          <w:shd w:val="clear" w:color="auto" w:fill="FFFFFF"/>
        </w:rPr>
        <w:t>泵房内应有照明设施，亮度复合国家标准，配置应急照明装置。</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3.6、</w:t>
      </w:r>
      <w:r>
        <w:rPr>
          <w:rFonts w:hint="eastAsia"/>
          <w:color w:val="333333"/>
          <w:highlight w:val="none"/>
          <w:shd w:val="clear" w:color="auto" w:fill="FFFFFF"/>
        </w:rPr>
        <w:t>低、中、高各分区管道应有明显标识。</w:t>
      </w:r>
    </w:p>
    <w:p>
      <w:pPr>
        <w:spacing w:line="360" w:lineRule="auto"/>
        <w:rPr>
          <w:b/>
          <w:color w:val="000000"/>
          <w:highlight w:val="none"/>
        </w:rPr>
      </w:pPr>
      <w:r>
        <w:rPr>
          <w:rFonts w:hint="eastAsia"/>
          <w:b/>
          <w:color w:val="000000"/>
          <w:highlight w:val="none"/>
        </w:rPr>
        <w:t>（三）什邡居民生活二次供水设施的要求</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1、二次供水设备的设计和运行应满足项目设计所规定的所有要求</w:t>
      </w:r>
      <w:r>
        <w:rPr>
          <w:rFonts w:hint="eastAsia"/>
          <w:color w:val="333333"/>
          <w:highlight w:val="none"/>
          <w:shd w:val="clear" w:color="auto" w:fill="FFFFFF"/>
          <w:lang w:eastAsia="zh-CN"/>
        </w:rPr>
        <w:t>，</w:t>
      </w:r>
      <w:r>
        <w:rPr>
          <w:rFonts w:hint="eastAsia"/>
          <w:color w:val="333333"/>
          <w:highlight w:val="none"/>
          <w:shd w:val="clear" w:color="auto" w:fill="FFFFFF"/>
          <w:lang w:eastAsia="zh-CN"/>
        </w:rPr>
        <w:t>设计方案需通过甲方审核</w:t>
      </w:r>
      <w:r>
        <w:rPr>
          <w:rFonts w:hint="eastAsia"/>
          <w:color w:val="333333"/>
          <w:highlight w:val="none"/>
          <w:shd w:val="clear" w:color="auto" w:fill="FFFFFF"/>
        </w:rPr>
        <w:t>。</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2、★此工程采用箱式恒压变频供水。</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3、水量和水泵扬程计算应符合《建筑给水排水设计标准》（GB50015-2019）要求，阀门、管件等设备和材料的规格型号应满足国家标准，不同厂家生产的相同规格型号的产品可以互换。</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4、★水泵选型需附水泵效率曲线图。</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5、★消毒设备可选择紫外线消毒器等，其设计、安装和使用应符合国家现行有关标准的规定。紫外线消毒器应具备对紫外线照射强度的在线检测，并应有自动清洗功能。</w:t>
      </w:r>
    </w:p>
    <w:p>
      <w:pPr>
        <w:tabs>
          <w:tab w:val="left" w:pos="605"/>
        </w:tabs>
        <w:spacing w:line="360" w:lineRule="auto"/>
        <w:ind w:firstLine="482" w:firstLineChars="200"/>
        <w:rPr>
          <w:b/>
          <w:bCs/>
          <w:highlight w:val="none"/>
        </w:rPr>
      </w:pPr>
      <w:bookmarkStart w:id="187" w:name="_Toc14258"/>
      <w:bookmarkStart w:id="188" w:name="_Toc23286"/>
      <w:bookmarkStart w:id="189" w:name="_Toc13586"/>
      <w:bookmarkStart w:id="190" w:name="_Toc12484"/>
      <w:bookmarkStart w:id="191" w:name="_Toc7359"/>
      <w:r>
        <w:rPr>
          <w:rFonts w:hint="eastAsia"/>
          <w:b/>
          <w:bCs/>
          <w:highlight w:val="none"/>
        </w:rPr>
        <w:t>6、水泵机组</w:t>
      </w:r>
      <w:bookmarkEnd w:id="187"/>
      <w:bookmarkEnd w:id="188"/>
      <w:bookmarkEnd w:id="189"/>
      <w:bookmarkEnd w:id="190"/>
      <w:bookmarkEnd w:id="191"/>
    </w:p>
    <w:p>
      <w:pPr>
        <w:spacing w:line="360" w:lineRule="auto"/>
        <w:ind w:firstLine="482" w:firstLineChars="200"/>
        <w:rPr>
          <w:b/>
          <w:bCs/>
          <w:color w:val="333333"/>
          <w:highlight w:val="none"/>
          <w:shd w:val="clear" w:color="auto" w:fill="FFFFFF"/>
        </w:rPr>
      </w:pPr>
      <w:bookmarkStart w:id="192" w:name="_Toc15932"/>
      <w:bookmarkStart w:id="193" w:name="_Toc17661"/>
      <w:bookmarkStart w:id="194" w:name="_Toc28327"/>
      <w:bookmarkStart w:id="195" w:name="_Toc11812"/>
      <w:bookmarkStart w:id="196" w:name="_Toc6915"/>
      <w:r>
        <w:rPr>
          <w:rFonts w:hint="eastAsia"/>
          <w:b/>
          <w:bCs/>
          <w:color w:val="333333"/>
          <w:highlight w:val="none"/>
          <w:shd w:val="clear" w:color="auto" w:fill="FFFFFF"/>
        </w:rPr>
        <w:t>6.1、配套水泵（含电机）</w:t>
      </w:r>
      <w:bookmarkEnd w:id="192"/>
      <w:bookmarkEnd w:id="193"/>
      <w:bookmarkEnd w:id="194"/>
      <w:bookmarkEnd w:id="195"/>
      <w:bookmarkEnd w:id="196"/>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6.1.1水泵主要部件要求</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6.1.2水泵过流部件：导叶、叶轮、导流器、叶轮隔套、耐压筒、进出水段等所有过流部件均为SUS304食品级不锈钢，材质不低于奥氏体不锈钢06Cr19Ni10。</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6.1.3传动轴：电机轴和泵轴通过联轴器直接连接。</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6.1.4水泵轴承：使用寿命在50000h以上。</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6.1.5轴封：采用集装式免维护机械轴封，材质为碳化钨或碳化硅。</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6.1.6水泵底座、泵与电机连接支架等：采用铸铁部件，为防止对水质污染，表面应采用电泳或无铝水基环氧树脂黑色涂层浸涂。不是普通电镀及喷漆处理，安有注水塞及排气螺塞。</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6.1.7联轴器：联轴器采用高强度碳素钢，采用对开式联轴器，与轴之间应有定位销，安装后无需重新定位。</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泵应在泵壳的最高点配有放气阀，在最低点配有排水阀。</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6.2、水泵选型及配置要求</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6.2.1水泵选型需附水泵效率曲线图。在现场条件下，泵在要求的出水流量工作条件下能长期运行。“扬程～流量”特性曲线稳定，从工作点到闭水扬程应有足够的上升曲线以避免水压小的变化而引起输出流量的改变。主泵并联联接，将自来水增压至出水点所需压力，主泵机组配用的水泵采用低噪声、节能型的立式多级不锈钢离心泵。</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6.2.2在满足供水需求的情况下，每个加压分区水泵的选型应按照能耗最低的方式进行组合，合理确定水泵的组合数量，每个加压分区宜采用相同规格型号的泵组。推荐单台工作水泵的供水流量小于30m3/h。采用变频调速控制时，水泵额定转速时的工作点应位于水泵高效区的末端。</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6.2.3各加压分区组合、配备的水泵的流量应达到该分区加压供水人数设计秒流量（每户取3.5人，人均生活用水定额取150—180L/人·天）的要求。</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6.2.4泵组的组合应根据该分区供水水量、水压的实际情况确定开启该分区水泵的数量，工作泵应设置2台或以上，并且单独设置备用水泵，备用泵的供水能力不应小于最大一台运行水泵的供水能力，备用水泵与工作泵应自动交替运行，实现相互备用。水泵运行轮流开启，不命名固定的备用泵组。</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6.2.5成套设备单台主泵功率＞11kw时宜配置一台辅泵，辅泵流量宜为单台主泵流量的1/3至1/2，辅泵应采用独立变频器控制。</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6.3、配套电机</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配套电机采用不低于IEC（国际电工委员会标准）标准电机，电机能效等级不低于国家三级能效等级标准（新标）（如果采用</w:t>
      </w:r>
      <w:r>
        <w:rPr>
          <w:rFonts w:hint="eastAsia"/>
          <w:color w:val="333333"/>
          <w:highlight w:val="none"/>
          <w:shd w:val="clear" w:color="auto" w:fill="FFFFFF"/>
        </w:rPr>
        <w:fldChar w:fldCharType="begin"/>
      </w:r>
      <w:r>
        <w:rPr>
          <w:rFonts w:hint="eastAsia"/>
          <w:color w:val="333333"/>
          <w:highlight w:val="none"/>
          <w:shd w:val="clear" w:color="auto" w:fill="FFFFFF"/>
        </w:rPr>
        <w:instrText xml:space="preserve"> HYPERLINK "https://www.so.com/link?m=bUQS4Q/qSnlcS81/OfqgiAorUb+UPdbdmmPxW+orDlp5VhOHwQGFuzZHtDp952OYRVGSZzD7jNYBeRQ6fK0TfJqJK8cMSpdfDU25zUbKWKHcFeS84yAPILlx1mtfdYnJnoTEHWGjDuaU=" \t "https://www.so.com/_blank" </w:instrText>
      </w:r>
      <w:r>
        <w:rPr>
          <w:rFonts w:hint="eastAsia"/>
          <w:color w:val="333333"/>
          <w:highlight w:val="none"/>
          <w:shd w:val="clear" w:color="auto" w:fill="FFFFFF"/>
        </w:rPr>
        <w:fldChar w:fldCharType="separate"/>
      </w:r>
      <w:r>
        <w:rPr>
          <w:rFonts w:hint="eastAsia"/>
          <w:color w:val="333333"/>
          <w:highlight w:val="none"/>
          <w:shd w:val="clear" w:color="auto" w:fill="FFFFFF"/>
        </w:rPr>
        <w:t>GB18613-2012中小型三相异步电动机能效限定值及能效等级</w:t>
      </w:r>
      <w:r>
        <w:rPr>
          <w:rFonts w:hint="eastAsia"/>
          <w:color w:val="333333"/>
          <w:highlight w:val="none"/>
          <w:shd w:val="clear" w:color="auto" w:fill="FFFFFF"/>
        </w:rPr>
        <w:fldChar w:fldCharType="end"/>
      </w:r>
      <w:r>
        <w:rPr>
          <w:rFonts w:hint="eastAsia"/>
          <w:color w:val="333333"/>
          <w:highlight w:val="none"/>
          <w:shd w:val="clear" w:color="auto" w:fill="FFFFFF"/>
        </w:rPr>
        <w:t>，则不低于二级能效等级标准），绝缘等级F级及以上等级，防护等级IP55及以上等级，电压等级：AC380V±10%，50Hz。电机功率与水泵配套，并满足水泵在全速状态下不过载的要求。</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6.4、水泵质量及品牌要求</w:t>
      </w:r>
    </w:p>
    <w:p>
      <w:pPr>
        <w:spacing w:line="360" w:lineRule="auto"/>
        <w:ind w:firstLine="482" w:firstLineChars="200"/>
        <w:rPr>
          <w:rFonts w:hint="default" w:eastAsia="宋体"/>
          <w:color w:val="FFC000" w:themeColor="accent4"/>
          <w:highlight w:val="none"/>
          <w:shd w:val="clear" w:color="auto" w:fill="FFFFFF"/>
          <w:lang w:val="en-US" w:eastAsia="zh-CN"/>
          <w14:textFill>
            <w14:solidFill>
              <w14:schemeClr w14:val="accent4"/>
            </w14:solidFill>
          </w14:textFill>
        </w:rPr>
      </w:pPr>
      <w:r>
        <w:rPr>
          <w:rFonts w:hint="eastAsia"/>
          <w:b/>
          <w:bCs/>
          <w:color w:val="333333"/>
          <w:highlight w:val="none"/>
          <w:shd w:val="clear" w:color="auto" w:fill="FFFFFF"/>
        </w:rPr>
        <w:t>6.4.1水泵建议品牌：</w:t>
      </w:r>
      <w:r>
        <w:rPr>
          <w:rFonts w:hint="eastAsia"/>
          <w:color w:val="000000" w:themeColor="text1"/>
          <w:highlight w:val="none"/>
          <w:shd w:val="clear" w:color="auto" w:fill="FFFFFF"/>
          <w14:textFill>
            <w14:solidFill>
              <w14:schemeClr w14:val="tx1"/>
            </w14:solidFill>
          </w14:textFill>
        </w:rPr>
        <w:t>国内一线品牌</w:t>
      </w:r>
      <w:r>
        <w:rPr>
          <w:rFonts w:hint="eastAsia"/>
          <w:color w:val="000000" w:themeColor="text1"/>
          <w:highlight w:val="none"/>
          <w:shd w:val="clear" w:color="auto" w:fill="FFFFFF"/>
          <w:lang w:eastAsia="zh-CN"/>
          <w14:textFill>
            <w14:solidFill>
              <w14:schemeClr w14:val="tx1"/>
            </w14:solidFill>
          </w14:textFill>
        </w:rPr>
        <w:t>（</w:t>
      </w:r>
      <w:r>
        <w:rPr>
          <w:rFonts w:hint="eastAsia"/>
          <w:color w:val="000000" w:themeColor="text1"/>
          <w:highlight w:val="none"/>
          <w:shd w:val="clear" w:color="auto" w:fill="FFFFFF"/>
          <w:lang w:val="en-US" w:eastAsia="zh-CN"/>
          <w14:textFill>
            <w14:solidFill>
              <w14:schemeClr w14:val="tx1"/>
            </w14:solidFill>
          </w14:textFill>
        </w:rPr>
        <w:t>如：连成、南方、德力西、成峰、凯泉</w:t>
      </w:r>
      <w:r>
        <w:rPr>
          <w:rFonts w:hint="eastAsia"/>
          <w:color w:val="000000" w:themeColor="text1"/>
          <w:highlight w:val="none"/>
          <w:shd w:val="clear" w:color="auto" w:fill="FFFFFF"/>
          <w:lang w:eastAsia="zh-CN"/>
          <w14:textFill>
            <w14:solidFill>
              <w14:schemeClr w14:val="tx1"/>
            </w14:solidFill>
          </w14:textFill>
        </w:rPr>
        <w:t>）</w:t>
      </w:r>
      <w:r>
        <w:rPr>
          <w:rFonts w:hint="eastAsia"/>
          <w:color w:val="333333"/>
          <w:highlight w:val="none"/>
          <w:shd w:val="clear" w:color="auto" w:fill="FFFFFF"/>
        </w:rPr>
        <w:t>及其他同规格及以上产品。</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居住建筑二次供水设施选用的水泵，噪声、振动应符合GB/T 29529-2013 《泵的噪声测量与评价方法》中的A级要求；单泵效率符合表3要求，所有水泵的效率指标不低于GB19762节能评价要求。</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水泵效率要求表3：</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929"/>
        <w:gridCol w:w="929"/>
        <w:gridCol w:w="1328"/>
        <w:gridCol w:w="146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水泵流量（m³/h）</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≤5</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5-10</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15-45</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51-120</w:t>
            </w:r>
          </w:p>
        </w:tc>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水泵效率η(%)</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&gt;45</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＞63</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＞70</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＞75</w:t>
            </w:r>
          </w:p>
        </w:tc>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＞73</w:t>
            </w:r>
          </w:p>
        </w:tc>
      </w:tr>
    </w:tbl>
    <w:p>
      <w:pPr>
        <w:spacing w:line="360" w:lineRule="auto"/>
        <w:ind w:firstLine="482" w:firstLineChars="200"/>
        <w:rPr>
          <w:b/>
          <w:bCs/>
          <w:color w:val="333333"/>
          <w:highlight w:val="none"/>
          <w:shd w:val="clear" w:color="auto" w:fill="FFFFFF"/>
        </w:rPr>
      </w:pPr>
      <w:bookmarkStart w:id="197" w:name="_Toc26198"/>
      <w:bookmarkStart w:id="198" w:name="_Toc24984"/>
      <w:bookmarkStart w:id="199" w:name="_Toc19155"/>
      <w:bookmarkStart w:id="200" w:name="_Toc19883"/>
      <w:bookmarkStart w:id="201" w:name="_Toc13353"/>
      <w:r>
        <w:rPr>
          <w:rFonts w:hint="eastAsia"/>
          <w:b/>
          <w:bCs/>
          <w:color w:val="333333"/>
          <w:highlight w:val="none"/>
          <w:shd w:val="clear" w:color="auto" w:fill="FFFFFF"/>
        </w:rPr>
        <w:t>6.4.2机组内成套阀门管路及附件</w:t>
      </w:r>
      <w:bookmarkEnd w:id="197"/>
      <w:bookmarkEnd w:id="198"/>
      <w:bookmarkEnd w:id="199"/>
      <w:bookmarkEnd w:id="200"/>
      <w:bookmarkEnd w:id="201"/>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6.4.2.1每台水泵进出水需安装检修蝶阀或球阀。蝶阀材质要求：阀体304不锈钢，闸板304不锈钢，内衬乙丙胶；球阀材质要求：阀体304不锈钢，球体304不锈钢，手柄：不锈钢包胶。</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6.4.2.1每台水泵出水端加装止回阀，防回流污染。止回阀材质要求阀体304不锈钢，阀芯304不锈钢。</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6.4.2.1每台水泵机与底座间增加橡胶隔振垫。</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6.4.2.1每台泵进出水管、成套设备进出水汇流管、法兰、盲板法兰、螺栓（丝）螺帽、支架等均采用SUS304不锈钢材质。</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每套设备应设置二次供水水质取水点，位置应设置在出水总管部位。</w:t>
      </w:r>
    </w:p>
    <w:p>
      <w:pPr>
        <w:spacing w:line="360" w:lineRule="auto"/>
        <w:ind w:firstLine="482" w:firstLineChars="200"/>
        <w:rPr>
          <w:b/>
          <w:bCs/>
          <w:color w:val="333333"/>
          <w:highlight w:val="none"/>
          <w:shd w:val="clear" w:color="auto" w:fill="FFFFFF"/>
        </w:rPr>
      </w:pPr>
      <w:bookmarkStart w:id="202" w:name="_Toc10860"/>
      <w:bookmarkStart w:id="203" w:name="_Toc21167"/>
      <w:bookmarkStart w:id="204" w:name="_Toc1381"/>
      <w:bookmarkStart w:id="205" w:name="_Toc20398"/>
      <w:bookmarkStart w:id="206" w:name="_Toc31984"/>
      <w:r>
        <w:rPr>
          <w:rFonts w:hint="eastAsia"/>
          <w:b/>
          <w:bCs/>
          <w:color w:val="333333"/>
          <w:highlight w:val="none"/>
          <w:shd w:val="clear" w:color="auto" w:fill="FFFFFF"/>
        </w:rPr>
        <w:t>6.4.3机组底座</w:t>
      </w:r>
      <w:bookmarkEnd w:id="202"/>
      <w:bookmarkEnd w:id="203"/>
      <w:bookmarkEnd w:id="204"/>
      <w:bookmarkEnd w:id="205"/>
      <w:bookmarkEnd w:id="206"/>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机组底座采用不锈钢材质（sus304），表面可喷塑处理。</w:t>
      </w:r>
    </w:p>
    <w:p>
      <w:pPr>
        <w:spacing w:line="360" w:lineRule="auto"/>
        <w:ind w:firstLine="482" w:firstLineChars="200"/>
        <w:rPr>
          <w:b/>
          <w:bCs/>
          <w:color w:val="333333"/>
          <w:highlight w:val="none"/>
          <w:shd w:val="clear" w:color="auto" w:fill="FFFFFF"/>
        </w:rPr>
      </w:pPr>
      <w:bookmarkStart w:id="207" w:name="_Toc9977"/>
      <w:bookmarkStart w:id="208" w:name="_Toc165"/>
      <w:bookmarkStart w:id="209" w:name="_Toc19233"/>
      <w:bookmarkStart w:id="210" w:name="_Toc32219"/>
      <w:r>
        <w:rPr>
          <w:rFonts w:hint="eastAsia"/>
          <w:b/>
          <w:bCs/>
          <w:color w:val="333333"/>
          <w:highlight w:val="none"/>
          <w:shd w:val="clear" w:color="auto" w:fill="FFFFFF"/>
        </w:rPr>
        <w:t>6.4.4机组水压试验</w:t>
      </w:r>
      <w:bookmarkEnd w:id="207"/>
      <w:bookmarkEnd w:id="208"/>
      <w:bookmarkEnd w:id="209"/>
      <w:bookmarkEnd w:id="210"/>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试验压力为额定压力的2倍，保压15min无泄漏、无变形或损坏。</w:t>
      </w:r>
    </w:p>
    <w:p>
      <w:pPr>
        <w:tabs>
          <w:tab w:val="left" w:pos="605"/>
        </w:tabs>
        <w:spacing w:line="360" w:lineRule="auto"/>
        <w:ind w:firstLine="482" w:firstLineChars="200"/>
        <w:rPr>
          <w:b/>
          <w:bCs/>
          <w:highlight w:val="none"/>
        </w:rPr>
      </w:pPr>
      <w:bookmarkStart w:id="211" w:name="_Toc8573"/>
      <w:bookmarkStart w:id="212" w:name="_Toc18882"/>
      <w:bookmarkStart w:id="213" w:name="_Toc1252"/>
      <w:bookmarkStart w:id="214" w:name="_Toc17361"/>
      <w:bookmarkStart w:id="215" w:name="_Toc18233"/>
      <w:r>
        <w:rPr>
          <w:rFonts w:hint="eastAsia"/>
          <w:b/>
          <w:bCs/>
          <w:highlight w:val="none"/>
        </w:rPr>
        <w:t>6.5、压力水容器</w:t>
      </w:r>
      <w:bookmarkEnd w:id="211"/>
      <w:bookmarkEnd w:id="212"/>
      <w:bookmarkEnd w:id="213"/>
      <w:bookmarkEnd w:id="214"/>
      <w:bookmarkEnd w:id="215"/>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6.5.1每套设备出口侧需设置气压罐，产品应符合压力容器管理的相关规定。</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6.5.2气压罐设有补气口、配置压力表。气压罐进口需设置与气压罐压力等级一致的阀门一套。</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6.5.3压力罐预冲压力：不低于启动压力0.4MPa。</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6.5.4气压罐容积按表4标准执行或高于此标准。</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表4：</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8"/>
        <w:gridCol w:w="2602"/>
        <w:gridCol w:w="2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28" w:type="dxa"/>
            <w:tcBorders>
              <w:bottom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Q（m3/h）</w:t>
            </w:r>
          </w:p>
        </w:tc>
        <w:tc>
          <w:tcPr>
            <w:tcW w:w="2602"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0-80</w:t>
            </w:r>
          </w:p>
        </w:tc>
        <w:tc>
          <w:tcPr>
            <w:tcW w:w="2008"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80以上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28" w:type="dxa"/>
            <w:tcBorders>
              <w:top w:val="single" w:color="auto" w:sz="4" w:space="0"/>
              <w:bottom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气压罐容积（L）</w:t>
            </w:r>
          </w:p>
        </w:tc>
        <w:tc>
          <w:tcPr>
            <w:tcW w:w="2602"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80</w:t>
            </w:r>
          </w:p>
        </w:tc>
        <w:tc>
          <w:tcPr>
            <w:tcW w:w="2008"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200</w:t>
            </w:r>
          </w:p>
        </w:tc>
      </w:tr>
    </w:tbl>
    <w:p>
      <w:pPr>
        <w:tabs>
          <w:tab w:val="left" w:pos="605"/>
        </w:tabs>
        <w:spacing w:line="360" w:lineRule="auto"/>
        <w:rPr>
          <w:b/>
          <w:bCs/>
          <w:highlight w:val="none"/>
        </w:rPr>
      </w:pPr>
      <w:bookmarkStart w:id="216" w:name="_Toc30681"/>
      <w:bookmarkStart w:id="217" w:name="_Toc29870"/>
      <w:bookmarkStart w:id="218" w:name="_Toc32556"/>
      <w:bookmarkStart w:id="219" w:name="_Toc31253"/>
      <w:bookmarkStart w:id="220" w:name="_Toc3162"/>
    </w:p>
    <w:p>
      <w:pPr>
        <w:tabs>
          <w:tab w:val="left" w:pos="605"/>
        </w:tabs>
        <w:spacing w:line="360" w:lineRule="auto"/>
        <w:ind w:firstLine="482" w:firstLineChars="200"/>
        <w:rPr>
          <w:b/>
          <w:bCs/>
          <w:highlight w:val="none"/>
        </w:rPr>
      </w:pPr>
      <w:r>
        <w:rPr>
          <w:rFonts w:hint="eastAsia"/>
          <w:b/>
          <w:bCs/>
          <w:highlight w:val="none"/>
        </w:rPr>
        <w:t>6.6、稳流罐</w:t>
      </w:r>
      <w:bookmarkEnd w:id="216"/>
      <w:bookmarkEnd w:id="217"/>
      <w:bookmarkEnd w:id="218"/>
      <w:bookmarkEnd w:id="219"/>
      <w:bookmarkEnd w:id="220"/>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6.6.1低位水箱恒压变频供水时不适用此要求。</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6.6.2稳流罐大小应符合供水要求，材质为SUS304不锈钢，壁厚不小于4mm，并满足GB150。SUS304不锈钢材质的稳流罐。稳流罐容积按表5标准执行。其制造不得采用普通镜面不锈钢钢板焊接制作，罐体必须进行表面亚光处理或更高级的表面工艺处理。</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表5：</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2"/>
        <w:gridCol w:w="1639"/>
        <w:gridCol w:w="1639"/>
        <w:gridCol w:w="1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3282" w:type="dxa"/>
            <w:tcBorders>
              <w:bottom w:val="single" w:color="auto" w:sz="4"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系统流量Q（m3/h）</w:t>
            </w:r>
          </w:p>
        </w:tc>
        <w:tc>
          <w:tcPr>
            <w:tcW w:w="1639"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0～40</w:t>
            </w:r>
          </w:p>
        </w:tc>
        <w:tc>
          <w:tcPr>
            <w:tcW w:w="1639"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40-80</w:t>
            </w:r>
          </w:p>
        </w:tc>
        <w:tc>
          <w:tcPr>
            <w:tcW w:w="1639" w:type="dxa"/>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80以上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3282" w:type="dxa"/>
            <w:tcBorders>
              <w:top w:val="single" w:color="auto" w:sz="4" w:space="0"/>
              <w:left w:val="single" w:color="000000" w:sz="6" w:space="0"/>
              <w:bottom w:val="single" w:color="auto" w:sz="4" w:space="0"/>
              <w:right w:val="single" w:color="000000" w:sz="6"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稳流罐容积（L）</w:t>
            </w:r>
          </w:p>
        </w:tc>
        <w:tc>
          <w:tcPr>
            <w:tcW w:w="1639"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330</w:t>
            </w:r>
          </w:p>
        </w:tc>
        <w:tc>
          <w:tcPr>
            <w:tcW w:w="1639"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730</w:t>
            </w:r>
          </w:p>
        </w:tc>
        <w:tc>
          <w:tcPr>
            <w:tcW w:w="1639"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1400</w:t>
            </w:r>
          </w:p>
        </w:tc>
      </w:tr>
    </w:tbl>
    <w:p>
      <w:pPr>
        <w:tabs>
          <w:tab w:val="left" w:pos="605"/>
        </w:tabs>
        <w:spacing w:line="360" w:lineRule="auto"/>
        <w:rPr>
          <w:b/>
          <w:bCs/>
          <w:highlight w:val="none"/>
        </w:rPr>
      </w:pPr>
      <w:bookmarkStart w:id="221" w:name="_Toc5829"/>
      <w:bookmarkStart w:id="222" w:name="_Toc25374"/>
      <w:bookmarkStart w:id="223" w:name="_Toc26237"/>
      <w:bookmarkStart w:id="224" w:name="_Toc6190"/>
      <w:bookmarkStart w:id="225" w:name="_Toc27684"/>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6.7、电气控制柜/开关柜</w:t>
      </w:r>
      <w:bookmarkEnd w:id="221"/>
      <w:bookmarkEnd w:id="222"/>
      <w:bookmarkEnd w:id="223"/>
      <w:bookmarkEnd w:id="224"/>
      <w:bookmarkEnd w:id="225"/>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电气和自动化设备品牌应满足电气设备和材料技术要求表要求，型号和规格卖方确定，并在投标书中注明。</w:t>
      </w:r>
    </w:p>
    <w:p>
      <w:pPr>
        <w:spacing w:line="360" w:lineRule="auto"/>
        <w:ind w:firstLine="480" w:firstLineChars="200"/>
        <w:rPr>
          <w:color w:val="333333"/>
          <w:highlight w:val="none"/>
          <w:shd w:val="clear" w:color="auto" w:fill="FFFFFF"/>
        </w:rPr>
      </w:pPr>
      <w:bookmarkStart w:id="226" w:name="_Toc25850"/>
      <w:bookmarkStart w:id="227" w:name="_Toc26400"/>
      <w:bookmarkStart w:id="228" w:name="_Toc14033"/>
      <w:bookmarkStart w:id="229" w:name="_Toc18382"/>
      <w:bookmarkStart w:id="230" w:name="_Toc8948"/>
      <w:r>
        <w:rPr>
          <w:rFonts w:hint="eastAsia"/>
          <w:color w:val="333333"/>
          <w:highlight w:val="none"/>
          <w:shd w:val="clear" w:color="auto" w:fill="FFFFFF"/>
        </w:rPr>
        <w:t>6.7.1柜体结构、材质、防护等级及其他基本要求</w:t>
      </w:r>
      <w:bookmarkEnd w:id="226"/>
      <w:bookmarkEnd w:id="227"/>
      <w:bookmarkEnd w:id="228"/>
      <w:bookmarkEnd w:id="229"/>
      <w:bookmarkEnd w:id="230"/>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6.7.1.1电气控制柜/开关柜结构：前面开门，后面板可拆卸，前后有密封材料。</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6.7.1.2电气控制柜/开关柜材质：采用材料≥2 mm碳钢板或不锈钢板，表面喷塑处理或更高工艺处理。</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6.7.1.3电气控制柜/开关柜防护等级：应符合GB 4208-2017《外壳防护等级（IP代码）》的规定，且应不低于IP44，变频控制系统防护等级不低于IP55。</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6.7.1.1控制柜电气元件标签、电气元件接线端标签完整。每个其他功能单元，控制盘、按钮箱、分线盒等都将贴上一个功能标签以指明该单元的功能。对每个按钮、选择开关和指示灯，应为其提供一标签以指明其用途。标签采塑料或不锈钢材料，每个标签将用铆钉固定。</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6.7.1.2泵房内供水设施和电气设备控制柜应分开设置，电气控制柜应设置防水设施。</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6.7.1.3成套电控柜通过（CQC）认证。</w:t>
      </w:r>
    </w:p>
    <w:p>
      <w:pPr>
        <w:spacing w:line="360" w:lineRule="auto"/>
        <w:ind w:firstLine="482" w:firstLineChars="200"/>
        <w:rPr>
          <w:b/>
          <w:bCs/>
          <w:color w:val="333333"/>
          <w:highlight w:val="none"/>
          <w:shd w:val="clear" w:color="auto" w:fill="FFFFFF"/>
        </w:rPr>
      </w:pPr>
      <w:bookmarkStart w:id="231" w:name="_Toc7601"/>
      <w:bookmarkStart w:id="232" w:name="_Toc22351"/>
      <w:bookmarkStart w:id="233" w:name="_Toc29873"/>
      <w:bookmarkStart w:id="234" w:name="_Toc27591"/>
      <w:bookmarkStart w:id="235" w:name="_Toc26231"/>
      <w:r>
        <w:rPr>
          <w:rFonts w:hint="eastAsia"/>
          <w:b/>
          <w:bCs/>
          <w:color w:val="333333"/>
          <w:highlight w:val="none"/>
          <w:shd w:val="clear" w:color="auto" w:fill="FFFFFF"/>
        </w:rPr>
        <w:t>6.7.2控制器及变频器</w:t>
      </w:r>
      <w:bookmarkEnd w:id="231"/>
      <w:bookmarkEnd w:id="232"/>
      <w:bookmarkEnd w:id="233"/>
      <w:bookmarkEnd w:id="234"/>
      <w:bookmarkEnd w:id="235"/>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6.7.2.1 控制器若通过PLC控制</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6.7.2.1.1可编程逻辑控制器（PLC）：建议品牌西门子、欧姆龙、施耐德及其他同标准品牌。</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6.7.2.1.2同时具有以太网接口及预留的MODBUS-RTU(485)接口，并提供具体的通信协议。机械装置和电气装置的所有自控逻辑将存在于可编程逻辑控制器和主保护电路中。</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6.7.2.1.3变频器：建议品牌：ABB、西门子及其他同标准品牌。</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6.7.2.1.4一对一配置变频器，保证泵及泵组能在流量的大动态变化时具有足够大的调速范围，保证泵组均能够实现变频启停。须具有PID功能和断电延迟保护功能，同时还具备报警复位端子，在出现报警的情况下可通过远程进行复位。</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6.7.2 .2控制器若通过数字集成变频控制器进行控制</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采用专用变频控制器，集控制与变频于一体，采用一对一变频控制，使工作泵始终处于效率区，实现泵组效率均摊、节能降耗、安全稳定的运行。应符合《数字集成全变频控制恒压供水设备》GB/T37892-2019国家标准要求，同时具有MODBUS-RTU(485)接口，并提供具体的通信协议。</w:t>
      </w:r>
    </w:p>
    <w:p>
      <w:pPr>
        <w:spacing w:line="360" w:lineRule="auto"/>
        <w:ind w:firstLine="482" w:firstLineChars="200"/>
        <w:rPr>
          <w:b/>
          <w:bCs/>
          <w:color w:val="333333"/>
          <w:highlight w:val="none"/>
          <w:shd w:val="clear" w:color="auto" w:fill="FFFFFF"/>
        </w:rPr>
      </w:pPr>
      <w:bookmarkStart w:id="236" w:name="_Toc17372"/>
      <w:bookmarkStart w:id="237" w:name="_Toc5780"/>
      <w:bookmarkStart w:id="238" w:name="_Toc28826"/>
      <w:bookmarkStart w:id="239" w:name="_Toc17954"/>
      <w:bookmarkStart w:id="240" w:name="_Toc8912"/>
      <w:r>
        <w:rPr>
          <w:rFonts w:hint="eastAsia"/>
          <w:b/>
          <w:bCs/>
          <w:color w:val="333333"/>
          <w:highlight w:val="none"/>
          <w:shd w:val="clear" w:color="auto" w:fill="FFFFFF"/>
        </w:rPr>
        <w:t>6.7.3主保护电路</w:t>
      </w:r>
      <w:bookmarkEnd w:id="236"/>
      <w:bookmarkEnd w:id="237"/>
      <w:bookmarkEnd w:id="238"/>
      <w:bookmarkEnd w:id="239"/>
      <w:bookmarkEnd w:id="240"/>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主保护电路将基于硬接线逻辑，且因此不依赖于可编程逻辑控制器或任何其他可编程控制设备。这些电路旨在保护人员不受损伤，防止设备受到损坏等。主保护电路将以手动和自动控制两种方式进行操作。</w:t>
      </w:r>
    </w:p>
    <w:p>
      <w:pPr>
        <w:spacing w:line="360" w:lineRule="auto"/>
        <w:ind w:firstLine="482" w:firstLineChars="200"/>
        <w:rPr>
          <w:b/>
          <w:bCs/>
          <w:color w:val="333333"/>
          <w:highlight w:val="none"/>
          <w:shd w:val="clear" w:color="auto" w:fill="FFFFFF"/>
        </w:rPr>
      </w:pPr>
      <w:bookmarkStart w:id="241" w:name="_Toc9778"/>
      <w:bookmarkStart w:id="242" w:name="_Toc31818"/>
      <w:bookmarkStart w:id="243" w:name="_Toc3028"/>
      <w:bookmarkStart w:id="244" w:name="_Toc21620"/>
      <w:bookmarkStart w:id="245" w:name="_Toc1359"/>
      <w:r>
        <w:rPr>
          <w:rFonts w:hint="eastAsia"/>
          <w:b/>
          <w:bCs/>
          <w:color w:val="333333"/>
          <w:highlight w:val="none"/>
          <w:shd w:val="clear" w:color="auto" w:fill="FFFFFF"/>
        </w:rPr>
        <w:t>6.7.4人机界面</w:t>
      </w:r>
      <w:bookmarkEnd w:id="241"/>
      <w:bookmarkEnd w:id="242"/>
      <w:bookmarkEnd w:id="243"/>
      <w:bookmarkEnd w:id="244"/>
      <w:bookmarkEnd w:id="245"/>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6.7.4.1中文人机界面，显示系统主要运行参数和报警信息，用户可根据需要进行参数设置。参数设置应满足实际使用要求。触摸屏推荐品牌：西门子、欧姆龙、施耐德及其他同标准品牌。</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6.7.4.2显示屏配7英寸以上真彩高分辨触摸屏，内存容量应满足数据存储不低于2年，嵌入安装在电气控制柜正面面板，并有防水、防潮等安全措施。</w:t>
      </w:r>
    </w:p>
    <w:p>
      <w:pPr>
        <w:spacing w:line="360" w:lineRule="auto"/>
        <w:ind w:firstLine="482" w:firstLineChars="200"/>
        <w:rPr>
          <w:b/>
          <w:bCs/>
          <w:color w:val="333333"/>
          <w:highlight w:val="none"/>
          <w:shd w:val="clear" w:color="auto" w:fill="FFFFFF"/>
        </w:rPr>
      </w:pPr>
      <w:bookmarkStart w:id="246" w:name="_Toc14166"/>
      <w:bookmarkStart w:id="247" w:name="_Toc9800"/>
      <w:bookmarkStart w:id="248" w:name="_Toc32200"/>
      <w:bookmarkStart w:id="249" w:name="_Toc28473"/>
      <w:bookmarkStart w:id="250" w:name="_Toc7786"/>
      <w:r>
        <w:rPr>
          <w:rFonts w:hint="eastAsia"/>
          <w:b/>
          <w:bCs/>
          <w:color w:val="333333"/>
          <w:highlight w:val="none"/>
          <w:shd w:val="clear" w:color="auto" w:fill="FFFFFF"/>
        </w:rPr>
        <w:t>6.7.5电气元器件</w:t>
      </w:r>
      <w:bookmarkEnd w:id="246"/>
      <w:bookmarkEnd w:id="247"/>
      <w:bookmarkEnd w:id="248"/>
      <w:bookmarkEnd w:id="249"/>
      <w:bookmarkEnd w:id="250"/>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电气控制柜/开关柜内主要电气元器件，必须选用具有CCC认证的产品，如断路器、接触器、继电器、接线端子、指示灯、按钮、转换开关等，应性能可靠，运行稳定，环境适应性高，使用耐久。电气元器件推荐品牌：ABB 、西门子、施耐德及其他同标准品牌。</w:t>
      </w:r>
    </w:p>
    <w:p>
      <w:pPr>
        <w:spacing w:line="360" w:lineRule="auto"/>
        <w:ind w:firstLine="482" w:firstLineChars="200"/>
        <w:rPr>
          <w:b/>
          <w:bCs/>
          <w:color w:val="333333"/>
          <w:highlight w:val="none"/>
          <w:shd w:val="clear" w:color="auto" w:fill="FFFFFF"/>
        </w:rPr>
      </w:pPr>
      <w:bookmarkStart w:id="251" w:name="_Toc28211"/>
      <w:bookmarkStart w:id="252" w:name="_Toc25566"/>
      <w:bookmarkStart w:id="253" w:name="_Toc29308"/>
      <w:bookmarkStart w:id="254" w:name="_Toc27582"/>
      <w:bookmarkStart w:id="255" w:name="_Toc2135"/>
      <w:r>
        <w:rPr>
          <w:rFonts w:hint="eastAsia"/>
          <w:b/>
          <w:bCs/>
          <w:color w:val="333333"/>
          <w:highlight w:val="none"/>
          <w:shd w:val="clear" w:color="auto" w:fill="FFFFFF"/>
        </w:rPr>
        <w:t>6.7.6系统的防雷与隔离</w:t>
      </w:r>
      <w:bookmarkEnd w:id="251"/>
      <w:bookmarkEnd w:id="252"/>
      <w:bookmarkEnd w:id="253"/>
      <w:bookmarkEnd w:id="254"/>
      <w:bookmarkEnd w:id="255"/>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6.7.6.1所有的户外设备以及跨越构筑物的设备存在有电气连接，就应考虑配置避雷器，避雷器的的种类包括：电源避雷器、信号避雷器和网络避雷器等。</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6.7.6.2所有仪表、自控设备必须考虑电源及信号防雷、防浪涌电流冲击设施。</w:t>
      </w:r>
    </w:p>
    <w:p>
      <w:pPr>
        <w:spacing w:line="360" w:lineRule="auto"/>
        <w:ind w:firstLine="482" w:firstLineChars="200"/>
        <w:rPr>
          <w:b/>
          <w:bCs/>
          <w:color w:val="333333"/>
          <w:highlight w:val="none"/>
          <w:shd w:val="clear" w:color="auto" w:fill="FFFFFF"/>
        </w:rPr>
      </w:pPr>
      <w:bookmarkStart w:id="256" w:name="_Toc32142"/>
      <w:bookmarkStart w:id="257" w:name="_Toc12"/>
      <w:bookmarkStart w:id="258" w:name="_Toc8251"/>
      <w:bookmarkStart w:id="259" w:name="_Toc25898"/>
      <w:bookmarkStart w:id="260" w:name="_Toc4316"/>
      <w:r>
        <w:rPr>
          <w:rFonts w:hint="eastAsia"/>
          <w:b/>
          <w:bCs/>
          <w:color w:val="333333"/>
          <w:highlight w:val="none"/>
          <w:shd w:val="clear" w:color="auto" w:fill="FFFFFF"/>
        </w:rPr>
        <w:t>6.7.7接地系统和保护导线</w:t>
      </w:r>
      <w:bookmarkEnd w:id="256"/>
      <w:bookmarkEnd w:id="257"/>
      <w:bookmarkEnd w:id="258"/>
      <w:bookmarkEnd w:id="259"/>
      <w:bookmarkEnd w:id="260"/>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 xml:space="preserve">自动化系统的防雷接地、保护接地、工作接地、屏蔽接地、防静电地采用联合接地体，接地电阻不大于1欧姆。 </w:t>
      </w:r>
    </w:p>
    <w:p>
      <w:pPr>
        <w:tabs>
          <w:tab w:val="left" w:pos="605"/>
        </w:tabs>
        <w:spacing w:line="360" w:lineRule="auto"/>
        <w:ind w:firstLine="482" w:firstLineChars="200"/>
        <w:rPr>
          <w:b/>
          <w:bCs/>
          <w:highlight w:val="none"/>
        </w:rPr>
      </w:pPr>
      <w:bookmarkStart w:id="261" w:name="_Toc12807"/>
      <w:bookmarkStart w:id="262" w:name="_Toc31051"/>
      <w:bookmarkStart w:id="263" w:name="_Toc12899"/>
      <w:bookmarkStart w:id="264" w:name="_Toc20168"/>
      <w:bookmarkStart w:id="265" w:name="_Toc21335"/>
      <w:r>
        <w:rPr>
          <w:rFonts w:hint="eastAsia"/>
          <w:b/>
          <w:bCs/>
          <w:highlight w:val="none"/>
        </w:rPr>
        <w:t>6.8、在线检测仪表</w:t>
      </w:r>
      <w:bookmarkEnd w:id="261"/>
      <w:bookmarkEnd w:id="262"/>
      <w:bookmarkEnd w:id="263"/>
      <w:bookmarkEnd w:id="264"/>
      <w:bookmarkEnd w:id="265"/>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6.8.1二次供水设施的相应位置应设置在线检测仪表。在线监测仪表包括电磁流量计、压力变送器、三相多功能电力仪表、水箱液位变送器、浊度仪（根据项目要求选择）、余氯仪（根据项目要求选择）等。</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6.8.1.1电磁流量计：为保证用户用水科学合理计量，计量基表的选择非常重要。计量基表要求为电磁流量计。</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6.8.1.1.1电磁流量计阀体为不锈钢或聚氨酯树脂，防护等级为IP68及以上。</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6.8.1.1.2电磁流量计安装位置为设备出水端，要求为水平安装，前10后5倍直管段。若需竖直安装，则按照说明书要求安装，流体由下向上。</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6.8.1.1.3电磁流量计的量程要适合工艺参数的实际需要。工艺量程为选用的电磁流量计量程的80％ 一90％ ；其测量下限要考虑电磁流量计检测器的信噪比；其适应的流体压力范围为：-0.098 MPa～2.941 MPa。电磁流量计的介质流速测量范围通常为0.4～12m/s，通常用Qmax和Qmin来定义计量范围，Qmax/Qmin(量程比)一般在20～25范围，Qmin～Qmax应保证精度。精度要求0.5级及以上，应保证±0.5%的精度。</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6.8.1.1.4电磁流量计具有数字通信功能，瞬时流量、累计流量等数据通过总线通信方式进入控制器中，以供上位机监控系统调用。</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6.8.2压力变送器</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出口压力传感器宜采用一用一备方式配置，故障时自动切换。品质不低于E+H、西门子、丹佛斯、瑞士keller等国际知名品牌。</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6.8.3三相多功能电力仪表</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控制柜内安装，监控在线电流、电压及电度。一种具有可编程测量、显示、数字通讯和电能脉冲变送输出等多功能智能仪表，能够完成三相电压、三相电流、有功功率、无功功率、功率因数、电网频率、有功电能、无功电能，并带有通讯接口和电能脉冲输出功能、数据显示、采集及传输。测量精度为0.5级，实现LED现场显示和远程RS-485数字接口通讯，采用MODBUS-RTU通讯协议。</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6.8.4水箱液位变送器（有水箱时配置）</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水箱配置液位变送器可与水箱进水端的电动阀和遥控浮球阀相互配合，达到溢流报警与控制功能。</w:t>
      </w:r>
    </w:p>
    <w:p>
      <w:pPr>
        <w:tabs>
          <w:tab w:val="left" w:pos="605"/>
        </w:tabs>
        <w:spacing w:line="360" w:lineRule="auto"/>
        <w:ind w:firstLine="482" w:firstLineChars="200"/>
        <w:rPr>
          <w:b/>
          <w:bCs/>
          <w:highlight w:val="none"/>
        </w:rPr>
      </w:pPr>
      <w:bookmarkStart w:id="266" w:name="_Toc23261"/>
      <w:bookmarkStart w:id="267" w:name="_Toc8391"/>
      <w:bookmarkStart w:id="268" w:name="_Toc3327"/>
      <w:bookmarkStart w:id="269" w:name="_Toc14458"/>
      <w:bookmarkStart w:id="270" w:name="_Toc11976"/>
      <w:r>
        <w:rPr>
          <w:rFonts w:hint="eastAsia"/>
          <w:b/>
          <w:bCs/>
          <w:highlight w:val="none"/>
        </w:rPr>
        <w:t>6.9、管道、阀门与附件</w:t>
      </w:r>
      <w:bookmarkEnd w:id="266"/>
      <w:bookmarkEnd w:id="267"/>
      <w:bookmarkEnd w:id="268"/>
      <w:bookmarkEnd w:id="269"/>
      <w:bookmarkEnd w:id="270"/>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6.9.1范围</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泵房墙外0.5米起至水箱（或稳流罐）进水口之间、水箱溢流管、水箱泄水管、水箱出水口至成套设备进水母管之间、设备出水母管法兰至泵房墙外0.5米之间的阀门、管路及安装附件。</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6.9.1.1无缝不锈钢管、弯头、三通：不低于SUS304食品级不锈钢材质，壁厚及承压能力符合国标及实际工况需求。管路管径大小需满足设备最大供水流量需求。</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6.9.1.2阀门：</w:t>
      </w:r>
      <w:r>
        <w:rPr>
          <w:rFonts w:hint="eastAsia"/>
          <w:color w:val="333333"/>
          <w:highlight w:val="none"/>
          <w:shd w:val="clear" w:color="auto" w:fill="FFFFFF"/>
        </w:rPr>
        <w:t>应根据管径、承受压力及安装环境等条件，采用水力条件好、启闭灵活、耐腐蚀、寿命长的阀门。所有阀门公称压力不得低于PN10（或根据工程设计需要选定）。</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6.9.1.2.1暗杆软密封闸阀：</w:t>
      </w:r>
      <w:r>
        <w:rPr>
          <w:rFonts w:hint="eastAsia"/>
          <w:color w:val="333333"/>
          <w:highlight w:val="none"/>
          <w:shd w:val="clear" w:color="auto" w:fill="FFFFFF"/>
        </w:rPr>
        <w:t>阀体SUS304不锈钢，阀瓣SUS304不锈钢包覆食品级橡胶；</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6.9.1.2.2 涡轮对夹式蝶阀：</w:t>
      </w:r>
      <w:r>
        <w:rPr>
          <w:rFonts w:hint="eastAsia"/>
          <w:color w:val="333333"/>
          <w:highlight w:val="none"/>
          <w:shd w:val="clear" w:color="auto" w:fill="FFFFFF"/>
        </w:rPr>
        <w:t>阀体SUS304不锈钢，闸板SUS304不锈钢，内衬乙丙胶；</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6.9.1.2.3  Y型过滤器：</w:t>
      </w:r>
      <w:r>
        <w:rPr>
          <w:rFonts w:hint="eastAsia"/>
          <w:color w:val="333333"/>
          <w:highlight w:val="none"/>
          <w:shd w:val="clear" w:color="auto" w:fill="FFFFFF"/>
        </w:rPr>
        <w:t>阀体SUS304不锈钢，滤网SUS304不锈钢；</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电动阀（箱式适用）：电动头220V，阀体SUS304不锈钢，闸板SUS304不锈钢，内衬乙丙胶；</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6.9.1.2.4  100X遥控浮球阀：</w:t>
      </w:r>
      <w:r>
        <w:rPr>
          <w:rFonts w:hint="eastAsia"/>
          <w:color w:val="333333"/>
          <w:highlight w:val="none"/>
          <w:shd w:val="clear" w:color="auto" w:fill="FFFFFF"/>
        </w:rPr>
        <w:t>阀体SUS304不锈钢，阀芯SUS304不锈钢，浮球及连接杆SUS304不锈钢；</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6.9.1.2.5 倒流防止器：</w:t>
      </w:r>
      <w:r>
        <w:rPr>
          <w:rFonts w:hint="eastAsia"/>
          <w:color w:val="333333"/>
          <w:highlight w:val="none"/>
          <w:shd w:val="clear" w:color="auto" w:fill="FFFFFF"/>
        </w:rPr>
        <w:t>阀体SUS304不锈钢，阀芯SUS304不锈钢，设备总出水管路上设置可靠的防回流污染的装置或措施，如低阻力倒流防止器，倒流器的两端安装检修阀门（注：水泵出水端有止回阀，可以不采用）</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 xml:space="preserve">6.9.1.2.6 </w:t>
      </w:r>
      <w:r>
        <w:rPr>
          <w:rFonts w:hint="eastAsia"/>
          <w:color w:val="333333"/>
          <w:highlight w:val="none"/>
          <w:shd w:val="clear" w:color="auto" w:fill="FFFFFF"/>
        </w:rPr>
        <w:t>橡胶瓣止回阀（箱式叠压供水形式适用）：阀体SUS304不锈钢，阀盖SUS304不锈钢，阀瓣SUS304不锈钢包覆食品级橡胶。</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6.9.1.3焊接法兰：</w:t>
      </w:r>
      <w:r>
        <w:rPr>
          <w:rFonts w:hint="eastAsia"/>
          <w:color w:val="333333"/>
          <w:highlight w:val="none"/>
          <w:shd w:val="clear" w:color="auto" w:fill="FFFFFF"/>
        </w:rPr>
        <w:t>SUS304不锈钢，公称压力不得低于PN10（或根据工程设计需要选定）</w:t>
      </w:r>
    </w:p>
    <w:p>
      <w:pPr>
        <w:spacing w:line="360" w:lineRule="auto"/>
        <w:ind w:firstLine="482" w:firstLineChars="200"/>
        <w:rPr>
          <w:color w:val="333333"/>
          <w:highlight w:val="none"/>
          <w:shd w:val="clear" w:color="auto" w:fill="FFFFFF"/>
        </w:rPr>
      </w:pPr>
      <w:r>
        <w:rPr>
          <w:rFonts w:hint="eastAsia"/>
          <w:b/>
          <w:bCs/>
          <w:color w:val="333333"/>
          <w:highlight w:val="none"/>
          <w:shd w:val="clear" w:color="auto" w:fill="FFFFFF"/>
        </w:rPr>
        <w:t>6.9.1.4</w:t>
      </w:r>
      <w:r>
        <w:rPr>
          <w:rFonts w:hint="eastAsia"/>
          <w:color w:val="333333"/>
          <w:highlight w:val="none"/>
          <w:shd w:val="clear" w:color="auto" w:fill="FFFFFF"/>
        </w:rPr>
        <w:t>螺栓（丝）螺帽、垫片：SUS304不锈钢</w:t>
      </w:r>
    </w:p>
    <w:p>
      <w:pPr>
        <w:spacing w:line="360" w:lineRule="auto"/>
        <w:rPr>
          <w:color w:val="333333"/>
          <w:highlight w:val="none"/>
          <w:shd w:val="clear" w:color="auto" w:fill="FFFFFF"/>
        </w:rPr>
      </w:pPr>
      <w:r>
        <w:rPr>
          <w:rFonts w:hint="eastAsia"/>
          <w:b/>
          <w:bCs/>
          <w:color w:val="333333"/>
          <w:highlight w:val="none"/>
          <w:shd w:val="clear" w:color="auto" w:fill="FFFFFF"/>
        </w:rPr>
        <w:t>注:</w:t>
      </w:r>
      <w:r>
        <w:rPr>
          <w:rFonts w:hint="eastAsia"/>
          <w:color w:val="333333"/>
          <w:highlight w:val="none"/>
          <w:shd w:val="clear" w:color="auto" w:fill="FFFFFF"/>
        </w:rPr>
        <w:t>1.具体内容详见什邡国润《二次加压公司系统工程技术细则》2021.10.18；</w:t>
      </w:r>
    </w:p>
    <w:p>
      <w:pPr>
        <w:spacing w:line="360" w:lineRule="auto"/>
        <w:ind w:firstLine="480" w:firstLineChars="200"/>
        <w:rPr>
          <w:color w:val="333333"/>
          <w:highlight w:val="none"/>
          <w:shd w:val="clear" w:color="auto" w:fill="FFFFFF"/>
        </w:rPr>
      </w:pPr>
      <w:r>
        <w:rPr>
          <w:rFonts w:hint="eastAsia"/>
          <w:color w:val="333333"/>
          <w:highlight w:val="none"/>
          <w:shd w:val="clear" w:color="auto" w:fill="FFFFFF"/>
        </w:rPr>
        <w:t>2.验收见附表1-3。</w:t>
      </w:r>
    </w:p>
    <w:p>
      <w:pPr>
        <w:spacing w:line="360" w:lineRule="auto"/>
        <w:ind w:firstLine="482" w:firstLineChars="200"/>
        <w:rPr>
          <w:b/>
          <w:bCs/>
          <w:color w:val="333333"/>
          <w:highlight w:val="none"/>
          <w:shd w:val="clear" w:color="auto" w:fill="FFFFFF"/>
        </w:rPr>
      </w:pPr>
      <w:r>
        <w:rPr>
          <w:rFonts w:hint="eastAsia"/>
          <w:b/>
          <w:bCs/>
          <w:color w:val="333333"/>
          <w:highlight w:val="none"/>
          <w:shd w:val="clear" w:color="auto" w:fill="FFFFFF"/>
        </w:rPr>
        <w:t>6.10、设备整机保修期自签订合同次日起算13年。</w:t>
      </w:r>
    </w:p>
    <w:p>
      <w:pPr>
        <w:pStyle w:val="4"/>
        <w:spacing w:before="0" w:after="0" w:line="360" w:lineRule="auto"/>
        <w:ind w:firstLine="482" w:firstLineChars="200"/>
        <w:jc w:val="left"/>
        <w:rPr>
          <w:rFonts w:ascii="宋体" w:hAnsi="宋体" w:eastAsia="宋体" w:cs="宋体"/>
          <w:bCs w:val="0"/>
          <w:sz w:val="24"/>
          <w:szCs w:val="24"/>
          <w:highlight w:val="none"/>
        </w:rPr>
      </w:pPr>
      <w:r>
        <w:rPr>
          <w:rFonts w:hint="eastAsia" w:ascii="宋体" w:hAnsi="宋体" w:eastAsia="宋体" w:cs="宋体"/>
          <w:bCs w:val="0"/>
          <w:color w:val="333333"/>
          <w:sz w:val="24"/>
          <w:szCs w:val="24"/>
          <w:highlight w:val="none"/>
          <w:shd w:val="clear" w:color="auto" w:fill="FFFFFF"/>
        </w:rPr>
        <w:t>（二）</w:t>
      </w:r>
      <w:r>
        <w:rPr>
          <w:rFonts w:hint="eastAsia" w:ascii="宋体" w:hAnsi="宋体" w:eastAsia="宋体" w:cs="宋体"/>
          <w:bCs w:val="0"/>
          <w:sz w:val="24"/>
          <w:szCs w:val="24"/>
          <w:highlight w:val="none"/>
        </w:rPr>
        <w:t>商务要求</w:t>
      </w:r>
    </w:p>
    <w:p>
      <w:pPr>
        <w:spacing w:line="360" w:lineRule="auto"/>
        <w:ind w:firstLine="480" w:firstLineChars="200"/>
        <w:rPr>
          <w:rFonts w:hint="eastAsia"/>
          <w:highlight w:val="none"/>
        </w:rPr>
      </w:pPr>
      <w:r>
        <w:rPr>
          <w:rFonts w:hint="eastAsia"/>
          <w:highlight w:val="none"/>
        </w:rPr>
        <w:t>1、</w:t>
      </w:r>
      <w:r>
        <w:rPr>
          <w:rFonts w:hint="eastAsia"/>
          <w:highlight w:val="none"/>
          <w:lang w:val="en-US" w:eastAsia="zh-CN"/>
        </w:rPr>
        <w:t>付款方式：</w:t>
      </w:r>
      <w:r>
        <w:rPr>
          <w:rFonts w:hint="default" w:ascii="Calibri" w:hAnsi="Calibri" w:cs="Calibri"/>
          <w:highlight w:val="none"/>
          <w:lang w:val="en-US" w:eastAsia="zh-CN"/>
        </w:rPr>
        <w:t>①</w:t>
      </w:r>
      <w:r>
        <w:rPr>
          <w:rFonts w:hint="eastAsia"/>
          <w:highlight w:val="none"/>
          <w:lang w:val="en-US" w:eastAsia="zh-CN"/>
        </w:rPr>
        <w:t>设备款在</w:t>
      </w:r>
      <w:r>
        <w:rPr>
          <w:rFonts w:hint="eastAsia"/>
          <w:highlight w:val="none"/>
        </w:rPr>
        <w:t>合同签订后支付</w:t>
      </w:r>
      <w:r>
        <w:rPr>
          <w:rFonts w:hint="eastAsia"/>
          <w:highlight w:val="none"/>
          <w:lang w:val="en-US" w:eastAsia="zh-CN"/>
        </w:rPr>
        <w:t>设备款项</w:t>
      </w:r>
      <w:r>
        <w:rPr>
          <w:rFonts w:hint="eastAsia"/>
          <w:highlight w:val="none"/>
        </w:rPr>
        <w:t>的30%，工程竣工验收合格后支付</w:t>
      </w:r>
      <w:r>
        <w:rPr>
          <w:rFonts w:hint="eastAsia"/>
          <w:highlight w:val="none"/>
          <w:lang w:val="en-US" w:eastAsia="zh-CN"/>
        </w:rPr>
        <w:t>设备款项</w:t>
      </w:r>
      <w:r>
        <w:rPr>
          <w:rFonts w:hint="eastAsia"/>
          <w:highlight w:val="none"/>
        </w:rPr>
        <w:t>的6</w:t>
      </w:r>
      <w:r>
        <w:rPr>
          <w:rFonts w:hint="eastAsia"/>
          <w:highlight w:val="none"/>
          <w:lang w:val="en-US" w:eastAsia="zh-CN"/>
        </w:rPr>
        <w:t>7</w:t>
      </w:r>
      <w:r>
        <w:rPr>
          <w:rFonts w:hint="eastAsia"/>
          <w:highlight w:val="none"/>
        </w:rPr>
        <w:t>%，剩余</w:t>
      </w:r>
      <w:r>
        <w:rPr>
          <w:rFonts w:hint="eastAsia"/>
          <w:highlight w:val="none"/>
          <w:lang w:val="en-US" w:eastAsia="zh-CN"/>
        </w:rPr>
        <w:t>3</w:t>
      </w:r>
      <w:r>
        <w:rPr>
          <w:rFonts w:hint="eastAsia"/>
          <w:highlight w:val="none"/>
        </w:rPr>
        <w:t>%作为工程质量保证金，验收合格后两年支付。</w:t>
      </w:r>
    </w:p>
    <w:p>
      <w:pPr>
        <w:spacing w:line="360" w:lineRule="auto"/>
        <w:ind w:firstLine="480" w:firstLineChars="200"/>
        <w:rPr>
          <w:rFonts w:hint="default" w:eastAsia="宋体"/>
          <w:highlight w:val="none"/>
          <w:lang w:val="en-US" w:eastAsia="zh-CN"/>
        </w:rPr>
      </w:pPr>
      <w:r>
        <w:rPr>
          <w:rFonts w:hint="default" w:ascii="Calibri" w:hAnsi="Calibri" w:cs="Calibri"/>
          <w:highlight w:val="none"/>
        </w:rPr>
        <w:t>②</w:t>
      </w:r>
      <w:r>
        <w:rPr>
          <w:rFonts w:hint="eastAsia" w:ascii="Calibri" w:hAnsi="Calibri" w:cs="Calibri"/>
          <w:highlight w:val="none"/>
          <w:lang w:val="en-US" w:eastAsia="zh-CN"/>
        </w:rPr>
        <w:t>运维费的支付方式：运维费分三次支付，第一次在运维满5年后支付运维费的5/13，第二次在运维满10年后支付运维费的5/13，剩余款项在运维期结束后一次性支付剩余价款。</w:t>
      </w:r>
    </w:p>
    <w:p>
      <w:pPr>
        <w:spacing w:line="360" w:lineRule="auto"/>
        <w:ind w:firstLine="480" w:firstLineChars="200"/>
        <w:rPr>
          <w:highlight w:val="none"/>
        </w:rPr>
      </w:pPr>
      <w:r>
        <w:rPr>
          <w:rFonts w:hint="eastAsia"/>
          <w:highlight w:val="none"/>
        </w:rPr>
        <w:t xml:space="preserve">2、工期：50个日历天。                      </w:t>
      </w:r>
    </w:p>
    <w:p>
      <w:pPr>
        <w:spacing w:line="360" w:lineRule="auto"/>
        <w:ind w:firstLine="480" w:firstLineChars="200"/>
        <w:rPr>
          <w:highlight w:val="none"/>
        </w:rPr>
      </w:pPr>
      <w:r>
        <w:rPr>
          <w:rFonts w:hint="eastAsia"/>
          <w:highlight w:val="none"/>
        </w:rPr>
        <w:t xml:space="preserve">3、验收要求：符合国家现行供水安装工程验收合格标准。                      </w:t>
      </w:r>
    </w:p>
    <w:p>
      <w:pPr>
        <w:spacing w:line="360" w:lineRule="auto"/>
        <w:ind w:firstLine="480" w:firstLineChars="200"/>
        <w:rPr>
          <w:highlight w:val="none"/>
        </w:rPr>
      </w:pPr>
      <w:r>
        <w:rPr>
          <w:rFonts w:hint="eastAsia"/>
          <w:highlight w:val="none"/>
        </w:rPr>
        <w:t>4、质量要求：按国家现行供水安装工程质量相关规定执行。</w:t>
      </w:r>
    </w:p>
    <w:p>
      <w:pPr>
        <w:spacing w:line="360" w:lineRule="auto"/>
        <w:ind w:firstLine="480" w:firstLineChars="200"/>
        <w:rPr>
          <w:highlight w:val="none"/>
        </w:rPr>
      </w:pPr>
      <w:r>
        <w:rPr>
          <w:color w:val="000000"/>
          <w:highlight w:val="none"/>
        </w:rPr>
        <w:t>5</w:t>
      </w:r>
      <w:r>
        <w:rPr>
          <w:rFonts w:hint="eastAsia"/>
          <w:color w:val="000000"/>
          <w:highlight w:val="none"/>
        </w:rPr>
        <w:t>、质保期：验收合格后13年。</w:t>
      </w:r>
    </w:p>
    <w:p>
      <w:pPr>
        <w:spacing w:line="360" w:lineRule="auto"/>
        <w:ind w:firstLine="480" w:firstLineChars="200"/>
        <w:rPr>
          <w:rFonts w:ascii="仿宋" w:hAnsi="仿宋" w:eastAsia="仿宋" w:cs="仿宋"/>
          <w:sz w:val="28"/>
          <w:szCs w:val="28"/>
          <w:highlight w:val="none"/>
        </w:rPr>
      </w:pPr>
      <w:r>
        <w:rPr>
          <w:color w:val="000000"/>
          <w:highlight w:val="none"/>
        </w:rPr>
        <w:t>6</w:t>
      </w:r>
      <w:r>
        <w:rPr>
          <w:rFonts w:hint="eastAsia"/>
          <w:color w:val="000000"/>
          <w:highlight w:val="none"/>
        </w:rPr>
        <w:t>、售后服务要求：</w:t>
      </w:r>
      <w:r>
        <w:rPr>
          <w:rFonts w:hint="eastAsia"/>
          <w:color w:val="000000" w:themeColor="text1"/>
          <w:highlight w:val="none"/>
          <w14:textFill>
            <w14:solidFill>
              <w14:schemeClr w14:val="tx1"/>
            </w14:solidFill>
          </w14:textFill>
        </w:rPr>
        <w:t>设备移交后，应做到每个月一次完成所供应设备的例行巡检工作并提供巡检记录至公司，接到抢修通知后</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15</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分钟内作出响应，</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个小时内到达故障现场，</w:t>
      </w:r>
      <w:r>
        <w:rPr>
          <w:rFonts w:hint="eastAsia"/>
          <w:color w:val="000000" w:themeColor="text1"/>
          <w:highlight w:val="none"/>
          <w14:textFill>
            <w14:solidFill>
              <w14:schemeClr w14:val="tx1"/>
            </w14:solidFill>
          </w14:textFill>
        </w:rPr>
        <w:t xml:space="preserve">非硬件损坏故障应在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2</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小时内解决，特殊情况下适当延长维修时间。</w:t>
      </w:r>
      <w:r>
        <w:rPr>
          <w:rFonts w:hint="eastAsia"/>
          <w:color w:val="000000"/>
          <w:highlight w:val="none"/>
        </w:rPr>
        <w:t xml:space="preserve">硬件损坏的故障在不影响正常供水条件下 </w:t>
      </w:r>
      <w:r>
        <w:rPr>
          <w:color w:val="000000"/>
          <w:highlight w:val="none"/>
          <w:u w:val="single"/>
        </w:rPr>
        <w:t xml:space="preserve"> </w:t>
      </w:r>
      <w:r>
        <w:rPr>
          <w:rFonts w:hint="eastAsia"/>
          <w:color w:val="000000"/>
          <w:highlight w:val="none"/>
          <w:u w:val="single"/>
          <w:lang w:val="en-US" w:eastAsia="zh-CN"/>
        </w:rPr>
        <w:t>24</w:t>
      </w:r>
      <w:r>
        <w:rPr>
          <w:color w:val="000000"/>
          <w:highlight w:val="none"/>
          <w:u w:val="single"/>
        </w:rPr>
        <w:t xml:space="preserve">  </w:t>
      </w:r>
      <w:r>
        <w:rPr>
          <w:rFonts w:hint="eastAsia"/>
          <w:color w:val="000000"/>
          <w:highlight w:val="none"/>
        </w:rPr>
        <w:t xml:space="preserve">小时内修复。若不能在 </w:t>
      </w:r>
      <w:r>
        <w:rPr>
          <w:color w:val="000000"/>
          <w:highlight w:val="none"/>
          <w:u w:val="single"/>
        </w:rPr>
        <w:t xml:space="preserve"> </w:t>
      </w:r>
      <w:r>
        <w:rPr>
          <w:rFonts w:hint="eastAsia"/>
          <w:color w:val="000000"/>
          <w:highlight w:val="none"/>
          <w:u w:val="single"/>
          <w:lang w:val="en-US" w:eastAsia="zh-CN"/>
        </w:rPr>
        <w:t>24</w:t>
      </w:r>
      <w:r>
        <w:rPr>
          <w:color w:val="000000"/>
          <w:highlight w:val="none"/>
          <w:u w:val="single"/>
        </w:rPr>
        <w:t xml:space="preserve">  </w:t>
      </w:r>
      <w:r>
        <w:rPr>
          <w:rFonts w:hint="eastAsia"/>
          <w:color w:val="000000"/>
          <w:highlight w:val="none"/>
        </w:rPr>
        <w:t>小时内解决，须提供同等性能、同等配置的设备替换，如不能根据上述时间节点履约，并由开发商提供书面形式的证明，从质保金中扣除5000元/次。</w:t>
      </w:r>
    </w:p>
    <w:p>
      <w:pPr>
        <w:spacing w:line="360" w:lineRule="auto"/>
        <w:rPr>
          <w:rFonts w:hint="eastAsia"/>
          <w:highlight w:val="none"/>
          <w:lang w:val="en-US" w:eastAsia="zh-CN"/>
        </w:rPr>
      </w:pPr>
    </w:p>
    <w:p>
      <w:pPr>
        <w:spacing w:line="360" w:lineRule="auto"/>
        <w:rPr>
          <w:rFonts w:hint="eastAsia"/>
          <w:highlight w:val="none"/>
          <w:lang w:val="en-US" w:eastAsia="zh-CN"/>
        </w:rPr>
      </w:pPr>
    </w:p>
    <w:p>
      <w:pPr>
        <w:spacing w:line="360" w:lineRule="auto"/>
        <w:rPr>
          <w:rFonts w:hint="default" w:eastAsia="宋体"/>
          <w:highlight w:val="none"/>
          <w:lang w:val="en-US" w:eastAsia="zh-CN"/>
        </w:rPr>
      </w:pPr>
      <w:r>
        <w:rPr>
          <w:rFonts w:hint="eastAsia"/>
          <w:highlight w:val="none"/>
          <w:lang w:val="en-US" w:eastAsia="zh-CN"/>
        </w:rPr>
        <w:t>注：带</w:t>
      </w:r>
      <w:r>
        <w:rPr>
          <w:rFonts w:hint="eastAsia" w:ascii="宋体" w:hAnsi="宋体" w:eastAsia="宋体" w:cs="仿宋"/>
          <w:szCs w:val="28"/>
          <w:highlight w:val="none"/>
        </w:rPr>
        <w:t>“</w:t>
      </w:r>
      <w:r>
        <w:rPr>
          <w:rFonts w:hint="eastAsia" w:ascii="宋体" w:hAnsi="宋体" w:eastAsia="宋体" w:cs="微软雅黑"/>
          <w:szCs w:val="28"/>
          <w:highlight w:val="none"/>
        </w:rPr>
        <w:t>★</w:t>
      </w:r>
      <w:r>
        <w:rPr>
          <w:rFonts w:hint="eastAsia" w:ascii="宋体" w:hAnsi="宋体" w:eastAsia="宋体" w:cs="仿宋"/>
          <w:szCs w:val="28"/>
          <w:highlight w:val="none"/>
        </w:rPr>
        <w:t>”</w:t>
      </w:r>
      <w:r>
        <w:rPr>
          <w:rFonts w:hint="eastAsia" w:cs="仿宋"/>
          <w:szCs w:val="28"/>
          <w:highlight w:val="none"/>
          <w:lang w:val="en-US" w:eastAsia="zh-CN"/>
        </w:rPr>
        <w:t>参数为实质性要求，不满足为无效响应。</w:t>
      </w:r>
    </w:p>
    <w:p>
      <w:pPr>
        <w:spacing w:line="360" w:lineRule="auto"/>
        <w:rPr>
          <w:rFonts w:cs="仿宋"/>
          <w:b/>
          <w:bCs/>
          <w:sz w:val="32"/>
          <w:szCs w:val="32"/>
          <w:highlight w:val="none"/>
          <w:lang w:val="zh-CN"/>
        </w:rPr>
      </w:pPr>
      <w:bookmarkStart w:id="271" w:name="_Toc31267"/>
      <w:bookmarkStart w:id="272" w:name="_Toc11528"/>
      <w:bookmarkStart w:id="273" w:name="_Toc1537"/>
      <w:r>
        <w:rPr>
          <w:rFonts w:cs="仿宋"/>
          <w:highlight w:val="none"/>
        </w:rPr>
        <w:br w:type="page"/>
      </w:r>
    </w:p>
    <w:bookmarkEnd w:id="271"/>
    <w:bookmarkEnd w:id="272"/>
    <w:bookmarkEnd w:id="273"/>
    <w:p>
      <w:pPr>
        <w:pStyle w:val="40"/>
        <w:pageBreakBefore/>
        <w:widowControl/>
        <w:numPr>
          <w:ilvl w:val="0"/>
          <w:numId w:val="1"/>
        </w:numPr>
        <w:spacing w:line="360" w:lineRule="auto"/>
        <w:rPr>
          <w:rFonts w:ascii="宋体" w:hAnsi="宋体" w:cs="仿宋"/>
          <w:highlight w:val="none"/>
        </w:rPr>
      </w:pPr>
      <w:bookmarkStart w:id="274" w:name="_Toc67472443"/>
      <w:bookmarkStart w:id="275" w:name="_Toc5607"/>
      <w:bookmarkStart w:id="276" w:name="_Toc32748"/>
      <w:bookmarkStart w:id="277" w:name="_Toc98423931"/>
      <w:bookmarkStart w:id="278" w:name="_Toc87969900"/>
      <w:bookmarkStart w:id="279" w:name="_Toc509579147"/>
      <w:r>
        <w:rPr>
          <w:rFonts w:hint="eastAsia" w:ascii="宋体" w:hAnsi="宋体" w:cs="仿宋"/>
          <w:highlight w:val="none"/>
        </w:rPr>
        <w:t>竞争性谈判办法</w:t>
      </w:r>
      <w:bookmarkEnd w:id="274"/>
      <w:bookmarkEnd w:id="275"/>
      <w:bookmarkEnd w:id="276"/>
      <w:bookmarkEnd w:id="277"/>
      <w:bookmarkEnd w:id="278"/>
      <w:bookmarkStart w:id="280" w:name="_Hlt101846155"/>
      <w:bookmarkEnd w:id="280"/>
      <w:bookmarkStart w:id="281" w:name="_Toc217446097"/>
      <w:bookmarkStart w:id="282" w:name="_Toc183682415"/>
      <w:bookmarkStart w:id="283" w:name="_Toc183582280"/>
      <w:bookmarkStart w:id="284" w:name="_Toc208849007"/>
    </w:p>
    <w:p>
      <w:pPr>
        <w:pStyle w:val="4"/>
        <w:widowControl/>
        <w:spacing w:line="360" w:lineRule="auto"/>
        <w:ind w:firstLine="361" w:firstLineChars="150"/>
        <w:jc w:val="left"/>
        <w:rPr>
          <w:rFonts w:ascii="宋体" w:hAnsi="宋体" w:eastAsia="宋体" w:cs="仿宋"/>
          <w:sz w:val="24"/>
          <w:szCs w:val="24"/>
          <w:highlight w:val="none"/>
        </w:rPr>
      </w:pPr>
      <w:r>
        <w:rPr>
          <w:rFonts w:ascii="宋体" w:hAnsi="宋体" w:eastAsia="宋体" w:cs="仿宋"/>
          <w:sz w:val="24"/>
          <w:szCs w:val="24"/>
          <w:highlight w:val="none"/>
        </w:rPr>
        <w:t>1</w:t>
      </w:r>
      <w:r>
        <w:rPr>
          <w:rFonts w:hint="eastAsia" w:ascii="宋体" w:hAnsi="宋体" w:eastAsia="宋体" w:cs="仿宋"/>
          <w:sz w:val="24"/>
          <w:szCs w:val="24"/>
          <w:highlight w:val="none"/>
        </w:rPr>
        <w:t>.竞争性谈判前附表</w:t>
      </w:r>
    </w:p>
    <w:tbl>
      <w:tblPr>
        <w:tblStyle w:val="43"/>
        <w:tblW w:w="6152" w:type="pct"/>
        <w:tblInd w:w="-9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4"/>
        <w:gridCol w:w="1019"/>
        <w:gridCol w:w="3227"/>
        <w:gridCol w:w="53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0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highlight w:val="none"/>
              </w:rPr>
            </w:pPr>
            <w:r>
              <w:rPr>
                <w:rFonts w:hint="eastAsia"/>
                <w:b/>
                <w:highlight w:val="none"/>
              </w:rPr>
              <w:t>条款号</w:t>
            </w: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b/>
                <w:highlight w:val="none"/>
              </w:rPr>
            </w:pPr>
            <w:r>
              <w:rPr>
                <w:rFonts w:hint="eastAsia"/>
                <w:b/>
                <w:highlight w:val="none"/>
              </w:rPr>
              <w:t>评审因素</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b/>
                <w:highlight w:val="none"/>
              </w:rPr>
            </w:pPr>
            <w:r>
              <w:rPr>
                <w:rFonts w:hint="eastAsia"/>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restart"/>
            <w:tcBorders>
              <w:top w:val="single" w:color="auto" w:sz="4" w:space="0"/>
              <w:left w:val="single" w:color="auto" w:sz="4" w:space="0"/>
              <w:right w:val="single" w:color="auto" w:sz="4" w:space="0"/>
            </w:tcBorders>
            <w:vAlign w:val="center"/>
          </w:tcPr>
          <w:p>
            <w:pPr>
              <w:spacing w:line="360" w:lineRule="auto"/>
              <w:rPr>
                <w:highlight w:val="none"/>
              </w:rPr>
            </w:pPr>
            <w:r>
              <w:rPr>
                <w:highlight w:val="none"/>
              </w:rPr>
              <w:t>1</w:t>
            </w:r>
          </w:p>
        </w:tc>
        <w:tc>
          <w:tcPr>
            <w:tcW w:w="486" w:type="pct"/>
            <w:vMerge w:val="restart"/>
            <w:tcBorders>
              <w:top w:val="single" w:color="auto" w:sz="4" w:space="0"/>
              <w:left w:val="nil"/>
              <w:right w:val="single" w:color="auto" w:sz="4" w:space="0"/>
            </w:tcBorders>
            <w:vAlign w:val="center"/>
          </w:tcPr>
          <w:p>
            <w:pPr>
              <w:spacing w:line="360" w:lineRule="auto"/>
              <w:rPr>
                <w:highlight w:val="none"/>
              </w:rPr>
            </w:pPr>
            <w:r>
              <w:rPr>
                <w:rFonts w:hint="eastAsia"/>
                <w:highlight w:val="none"/>
              </w:rPr>
              <w:t>资格评审标准</w:t>
            </w:r>
          </w:p>
        </w:tc>
        <w:tc>
          <w:tcPr>
            <w:tcW w:w="1539" w:type="pct"/>
            <w:tcBorders>
              <w:top w:val="single" w:color="auto" w:sz="4" w:space="0"/>
              <w:left w:val="single" w:color="auto" w:sz="4" w:space="0"/>
              <w:bottom w:val="single" w:color="auto" w:sz="4" w:space="0"/>
              <w:right w:val="single" w:color="auto" w:sz="4" w:space="0"/>
            </w:tcBorders>
          </w:tcPr>
          <w:p>
            <w:pPr>
              <w:spacing w:line="360" w:lineRule="auto"/>
              <w:rPr>
                <w:highlight w:val="none"/>
              </w:rPr>
            </w:pPr>
            <w:r>
              <w:rPr>
                <w:rFonts w:cs="仿宋"/>
                <w:highlight w:val="none"/>
              </w:rPr>
              <w:t>具有独立承担民事责任的能力</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提供营业执照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17" w:type="pct"/>
            <w:vMerge w:val="continue"/>
            <w:tcBorders>
              <w:left w:val="single" w:color="auto" w:sz="4" w:space="0"/>
              <w:right w:val="single" w:color="auto" w:sz="4" w:space="0"/>
            </w:tcBorders>
            <w:vAlign w:val="center"/>
          </w:tcPr>
          <w:p>
            <w:pPr>
              <w:spacing w:line="360" w:lineRule="auto"/>
              <w:rPr>
                <w:highlight w:val="none"/>
              </w:rPr>
            </w:pPr>
          </w:p>
        </w:tc>
        <w:tc>
          <w:tcPr>
            <w:tcW w:w="486" w:type="pct"/>
            <w:vMerge w:val="continue"/>
            <w:tcBorders>
              <w:left w:val="nil"/>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tcPr>
          <w:p>
            <w:pPr>
              <w:spacing w:line="360" w:lineRule="auto"/>
              <w:rPr>
                <w:highlight w:val="none"/>
              </w:rPr>
            </w:pPr>
            <w:r>
              <w:rPr>
                <w:rFonts w:cs="仿宋"/>
                <w:highlight w:val="none"/>
              </w:rPr>
              <w:t>具有良好的商业信誉和健全的财务会计制度</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left w:val="single" w:color="auto" w:sz="4" w:space="0"/>
              <w:right w:val="single" w:color="auto" w:sz="4" w:space="0"/>
            </w:tcBorders>
            <w:vAlign w:val="center"/>
          </w:tcPr>
          <w:p>
            <w:pPr>
              <w:spacing w:line="360" w:lineRule="auto"/>
              <w:rPr>
                <w:highlight w:val="none"/>
              </w:rPr>
            </w:pPr>
          </w:p>
        </w:tc>
        <w:tc>
          <w:tcPr>
            <w:tcW w:w="486" w:type="pct"/>
            <w:vMerge w:val="continue"/>
            <w:tcBorders>
              <w:left w:val="nil"/>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tcPr>
          <w:p>
            <w:pPr>
              <w:spacing w:line="360" w:lineRule="auto"/>
              <w:rPr>
                <w:highlight w:val="none"/>
              </w:rPr>
            </w:pPr>
            <w:r>
              <w:rPr>
                <w:rFonts w:cs="仿宋"/>
                <w:highlight w:val="none"/>
              </w:rPr>
              <w:t>具有履行合同所必须的设备和专业技术能力</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left w:val="single" w:color="auto" w:sz="4" w:space="0"/>
              <w:right w:val="single" w:color="auto" w:sz="4" w:space="0"/>
            </w:tcBorders>
            <w:vAlign w:val="center"/>
          </w:tcPr>
          <w:p>
            <w:pPr>
              <w:spacing w:line="360" w:lineRule="auto"/>
              <w:rPr>
                <w:highlight w:val="none"/>
              </w:rPr>
            </w:pPr>
          </w:p>
        </w:tc>
        <w:tc>
          <w:tcPr>
            <w:tcW w:w="486" w:type="pct"/>
            <w:vMerge w:val="continue"/>
            <w:tcBorders>
              <w:left w:val="nil"/>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tcPr>
          <w:p>
            <w:pPr>
              <w:spacing w:line="360" w:lineRule="auto"/>
              <w:rPr>
                <w:highlight w:val="none"/>
              </w:rPr>
            </w:pPr>
            <w:r>
              <w:rPr>
                <w:rFonts w:cs="仿宋"/>
                <w:highlight w:val="none"/>
              </w:rPr>
              <w:t>具有依法缴纳税收和社会保障资金的良好记录</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417" w:type="pct"/>
            <w:vMerge w:val="continue"/>
            <w:tcBorders>
              <w:left w:val="single" w:color="auto" w:sz="4" w:space="0"/>
              <w:right w:val="single" w:color="auto" w:sz="4" w:space="0"/>
            </w:tcBorders>
            <w:vAlign w:val="center"/>
          </w:tcPr>
          <w:p>
            <w:pPr>
              <w:spacing w:line="360" w:lineRule="auto"/>
              <w:rPr>
                <w:highlight w:val="none"/>
              </w:rPr>
            </w:pPr>
          </w:p>
        </w:tc>
        <w:tc>
          <w:tcPr>
            <w:tcW w:w="486" w:type="pct"/>
            <w:vMerge w:val="continue"/>
            <w:tcBorders>
              <w:left w:val="nil"/>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tcPr>
          <w:p>
            <w:pPr>
              <w:spacing w:line="360" w:lineRule="auto"/>
              <w:rPr>
                <w:highlight w:val="none"/>
              </w:rPr>
            </w:pPr>
            <w:r>
              <w:rPr>
                <w:rFonts w:cs="仿宋"/>
                <w:highlight w:val="none"/>
              </w:rPr>
              <w:t>参加本次采购活动前三年内，在经营活动中没有重大违法记录</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left w:val="single" w:color="auto" w:sz="4" w:space="0"/>
              <w:right w:val="single" w:color="auto" w:sz="4" w:space="0"/>
            </w:tcBorders>
            <w:vAlign w:val="center"/>
          </w:tcPr>
          <w:p>
            <w:pPr>
              <w:spacing w:line="360" w:lineRule="auto"/>
              <w:rPr>
                <w:highlight w:val="none"/>
              </w:rPr>
            </w:pPr>
          </w:p>
        </w:tc>
        <w:tc>
          <w:tcPr>
            <w:tcW w:w="486" w:type="pct"/>
            <w:vMerge w:val="continue"/>
            <w:tcBorders>
              <w:left w:val="nil"/>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tcPr>
          <w:p>
            <w:pPr>
              <w:spacing w:line="360" w:lineRule="auto"/>
              <w:rPr>
                <w:highlight w:val="none"/>
              </w:rPr>
            </w:pPr>
            <w:r>
              <w:rPr>
                <w:rFonts w:cs="仿宋"/>
                <w:highlight w:val="none"/>
              </w:rPr>
              <w:t>法律、行政法规规定的其他条件</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left w:val="single" w:color="auto" w:sz="4" w:space="0"/>
              <w:right w:val="single" w:color="auto" w:sz="4" w:space="0"/>
            </w:tcBorders>
            <w:vAlign w:val="center"/>
          </w:tcPr>
          <w:p>
            <w:pPr>
              <w:spacing w:line="360" w:lineRule="auto"/>
              <w:rPr>
                <w:highlight w:val="none"/>
              </w:rPr>
            </w:pPr>
          </w:p>
        </w:tc>
        <w:tc>
          <w:tcPr>
            <w:tcW w:w="486" w:type="pct"/>
            <w:vMerge w:val="continue"/>
            <w:tcBorders>
              <w:left w:val="nil"/>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其他要求</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符合谈判文件资格要求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highlight w:val="none"/>
              </w:rPr>
              <w:t>2</w:t>
            </w:r>
          </w:p>
        </w:tc>
        <w:tc>
          <w:tcPr>
            <w:tcW w:w="486" w:type="pct"/>
            <w:vMerge w:val="restart"/>
            <w:tcBorders>
              <w:top w:val="single" w:color="auto" w:sz="4" w:space="0"/>
              <w:left w:val="nil"/>
              <w:bottom w:val="single" w:color="auto" w:sz="4" w:space="0"/>
              <w:right w:val="single" w:color="auto" w:sz="4" w:space="0"/>
            </w:tcBorders>
            <w:vAlign w:val="center"/>
          </w:tcPr>
          <w:p>
            <w:pPr>
              <w:spacing w:line="360" w:lineRule="auto"/>
              <w:rPr>
                <w:highlight w:val="none"/>
              </w:rPr>
            </w:pPr>
            <w:r>
              <w:rPr>
                <w:rFonts w:hint="eastAsia"/>
                <w:highlight w:val="none"/>
              </w:rPr>
              <w:t>符合性、</w:t>
            </w:r>
            <w:r>
              <w:rPr>
                <w:rFonts w:hint="eastAsia" w:cs="仿宋"/>
                <w:kern w:val="2"/>
                <w:highlight w:val="none"/>
                <w:lang w:val="zh-CN" w:bidi="ar"/>
              </w:rPr>
              <w:t>有效性、完整性和响应程度</w:t>
            </w:r>
            <w:r>
              <w:rPr>
                <w:rFonts w:hint="eastAsia"/>
                <w:highlight w:val="none"/>
              </w:rPr>
              <w:t>审查标准</w:t>
            </w:r>
          </w:p>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正副本数量</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符合第二章“谈判须知”第1</w:t>
            </w:r>
            <w:r>
              <w:rPr>
                <w:highlight w:val="none"/>
              </w:rPr>
              <w:t>8</w:t>
            </w:r>
            <w:r>
              <w:rPr>
                <w:rFonts w:hint="eastAsia"/>
                <w:highlight w:val="none"/>
              </w:rPr>
              <w:t>.</w:t>
            </w:r>
            <w:r>
              <w:rPr>
                <w:highlight w:val="none"/>
              </w:rPr>
              <w:t>1</w:t>
            </w:r>
            <w:r>
              <w:rPr>
                <w:rFonts w:hint="eastAsia"/>
                <w:highlight w:val="none"/>
              </w:rPr>
              <w:t>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41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p>
        </w:tc>
        <w:tc>
          <w:tcPr>
            <w:tcW w:w="486" w:type="pct"/>
            <w:vMerge w:val="continue"/>
            <w:tcBorders>
              <w:top w:val="single" w:color="auto" w:sz="4" w:space="0"/>
              <w:left w:val="nil"/>
              <w:bottom w:val="single" w:color="auto" w:sz="4" w:space="0"/>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响应文件组成</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符合第二章“谈判须知”第</w:t>
            </w:r>
            <w:r>
              <w:rPr>
                <w:highlight w:val="none"/>
              </w:rPr>
              <w:t>17</w:t>
            </w:r>
            <w:r>
              <w:rPr>
                <w:rFonts w:hint="eastAsia"/>
                <w:highlight w:val="none"/>
              </w:rPr>
              <w:t>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p>
        </w:tc>
        <w:tc>
          <w:tcPr>
            <w:tcW w:w="486" w:type="pct"/>
            <w:vMerge w:val="continue"/>
            <w:tcBorders>
              <w:top w:val="single" w:color="auto" w:sz="4" w:space="0"/>
              <w:left w:val="nil"/>
              <w:bottom w:val="single" w:color="auto" w:sz="4" w:space="0"/>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highlight w:val="none"/>
              </w:rPr>
              <w:t>响应文件的格式、语言、计量单位、报价货币、知识产权、响应文件有效期等</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符合第二章“谈判须知”规定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p>
        </w:tc>
        <w:tc>
          <w:tcPr>
            <w:tcW w:w="486" w:type="pct"/>
            <w:vMerge w:val="continue"/>
            <w:tcBorders>
              <w:top w:val="single" w:color="auto" w:sz="4" w:space="0"/>
              <w:left w:val="nil"/>
              <w:bottom w:val="single" w:color="auto" w:sz="4" w:space="0"/>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响应报价</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符合第二章“谈判须知附表”第</w:t>
            </w:r>
            <w:r>
              <w:rPr>
                <w:highlight w:val="none"/>
              </w:rPr>
              <w:t>2</w:t>
            </w:r>
            <w:r>
              <w:rPr>
                <w:rFonts w:hint="eastAsia"/>
                <w:highlight w:val="none"/>
              </w:rPr>
              <w:t>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p>
        </w:tc>
        <w:tc>
          <w:tcPr>
            <w:tcW w:w="486" w:type="pct"/>
            <w:vMerge w:val="continue"/>
            <w:tcBorders>
              <w:top w:val="single" w:color="auto" w:sz="4" w:space="0"/>
              <w:left w:val="nil"/>
              <w:bottom w:val="single" w:color="auto" w:sz="4" w:space="0"/>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工期</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符合谈判文件要求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p>
        </w:tc>
        <w:tc>
          <w:tcPr>
            <w:tcW w:w="486" w:type="pct"/>
            <w:vMerge w:val="continue"/>
            <w:tcBorders>
              <w:top w:val="single" w:color="auto" w:sz="4" w:space="0"/>
              <w:left w:val="nil"/>
              <w:bottom w:val="single" w:color="auto" w:sz="4" w:space="0"/>
              <w:right w:val="single" w:color="auto" w:sz="4" w:space="0"/>
            </w:tcBorders>
            <w:vAlign w:val="center"/>
          </w:tcPr>
          <w:p>
            <w:pPr>
              <w:spacing w:line="360" w:lineRule="auto"/>
              <w:rPr>
                <w:highlight w:val="none"/>
              </w:rPr>
            </w:pPr>
          </w:p>
        </w:tc>
        <w:tc>
          <w:tcPr>
            <w:tcW w:w="1539"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响应无效情形</w:t>
            </w:r>
          </w:p>
        </w:tc>
        <w:tc>
          <w:tcPr>
            <w:tcW w:w="2558" w:type="pct"/>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符合第七章“竞争性谈判办法”第</w:t>
            </w:r>
            <w:r>
              <w:rPr>
                <w:highlight w:val="none"/>
              </w:rPr>
              <w:t>3.4</w:t>
            </w:r>
            <w:r>
              <w:rPr>
                <w:rFonts w:hint="eastAsia"/>
                <w:highlight w:val="none"/>
              </w:rPr>
              <w:t>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注：经过以上评审步骤后合格供应商不能少于</w:t>
            </w:r>
            <w:r>
              <w:rPr>
                <w:highlight w:val="none"/>
              </w:rPr>
              <w:t>3</w:t>
            </w:r>
            <w:r>
              <w:rPr>
                <w:rFonts w:hint="eastAsia"/>
                <w:highlight w:val="none"/>
              </w:rPr>
              <w:t>家，否则不能进行下一步评审。</w:t>
            </w:r>
          </w:p>
        </w:tc>
      </w:tr>
    </w:tbl>
    <w:p>
      <w:pPr>
        <w:rPr>
          <w:highlight w:val="none"/>
        </w:rPr>
      </w:pPr>
    </w:p>
    <w:tbl>
      <w:tblPr>
        <w:tblStyle w:val="4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67"/>
        <w:gridCol w:w="850"/>
        <w:gridCol w:w="5633"/>
        <w:gridCol w:w="91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83" w:type="dxa"/>
            <w:vAlign w:val="center"/>
          </w:tcPr>
          <w:p>
            <w:pPr>
              <w:spacing w:line="360" w:lineRule="auto"/>
              <w:ind w:firstLine="28"/>
              <w:jc w:val="center"/>
              <w:rPr>
                <w:color w:val="auto"/>
                <w:highlight w:val="none"/>
              </w:rPr>
            </w:pPr>
            <w:r>
              <w:rPr>
                <w:rFonts w:hint="eastAsia"/>
                <w:color w:val="auto"/>
                <w:highlight w:val="none"/>
              </w:rPr>
              <w:t>序号</w:t>
            </w:r>
          </w:p>
        </w:tc>
        <w:tc>
          <w:tcPr>
            <w:tcW w:w="1467" w:type="dxa"/>
            <w:vAlign w:val="center"/>
          </w:tcPr>
          <w:p>
            <w:pPr>
              <w:spacing w:line="360" w:lineRule="auto"/>
              <w:ind w:firstLine="28"/>
              <w:jc w:val="center"/>
              <w:rPr>
                <w:color w:val="auto"/>
                <w:highlight w:val="none"/>
              </w:rPr>
            </w:pPr>
            <w:r>
              <w:rPr>
                <w:rFonts w:hint="eastAsia"/>
                <w:color w:val="auto"/>
                <w:highlight w:val="none"/>
              </w:rPr>
              <w:t>评分因素</w:t>
            </w:r>
          </w:p>
          <w:p>
            <w:pPr>
              <w:spacing w:line="360" w:lineRule="auto"/>
              <w:ind w:firstLine="28"/>
              <w:jc w:val="center"/>
              <w:rPr>
                <w:color w:val="auto"/>
                <w:highlight w:val="none"/>
              </w:rPr>
            </w:pPr>
            <w:r>
              <w:rPr>
                <w:rFonts w:hint="eastAsia"/>
                <w:color w:val="auto"/>
                <w:highlight w:val="none"/>
              </w:rPr>
              <w:t>及权重</w:t>
            </w:r>
          </w:p>
        </w:tc>
        <w:tc>
          <w:tcPr>
            <w:tcW w:w="850" w:type="dxa"/>
            <w:vAlign w:val="center"/>
          </w:tcPr>
          <w:p>
            <w:pPr>
              <w:spacing w:line="360" w:lineRule="auto"/>
              <w:ind w:firstLine="28"/>
              <w:jc w:val="center"/>
              <w:rPr>
                <w:color w:val="auto"/>
                <w:highlight w:val="none"/>
              </w:rPr>
            </w:pPr>
            <w:r>
              <w:rPr>
                <w:rFonts w:hint="eastAsia"/>
                <w:color w:val="auto"/>
                <w:highlight w:val="none"/>
              </w:rPr>
              <w:t>分值权重</w:t>
            </w:r>
          </w:p>
        </w:tc>
        <w:tc>
          <w:tcPr>
            <w:tcW w:w="5633" w:type="dxa"/>
            <w:vAlign w:val="center"/>
          </w:tcPr>
          <w:p>
            <w:pPr>
              <w:spacing w:line="360" w:lineRule="auto"/>
              <w:ind w:firstLine="28"/>
              <w:jc w:val="center"/>
              <w:rPr>
                <w:color w:val="auto"/>
                <w:highlight w:val="none"/>
              </w:rPr>
            </w:pPr>
            <w:r>
              <w:rPr>
                <w:rFonts w:hint="eastAsia"/>
                <w:color w:val="auto"/>
                <w:highlight w:val="none"/>
              </w:rPr>
              <w:t>评分标准</w:t>
            </w:r>
          </w:p>
        </w:tc>
        <w:tc>
          <w:tcPr>
            <w:tcW w:w="919" w:type="dxa"/>
            <w:vAlign w:val="center"/>
          </w:tcPr>
          <w:p>
            <w:pPr>
              <w:spacing w:line="360" w:lineRule="auto"/>
              <w:jc w:val="center"/>
              <w:rPr>
                <w:color w:val="auto"/>
                <w:highlight w:val="none"/>
              </w:rPr>
            </w:pPr>
            <w:r>
              <w:rPr>
                <w:rFonts w:hint="eastAsia"/>
                <w:color w:val="auto"/>
                <w:highlight w:val="none"/>
              </w:rPr>
              <w:t>说明</w:t>
            </w:r>
          </w:p>
        </w:tc>
        <w:tc>
          <w:tcPr>
            <w:tcW w:w="810" w:type="dxa"/>
            <w:vAlign w:val="center"/>
          </w:tcPr>
          <w:p>
            <w:pPr>
              <w:spacing w:line="360" w:lineRule="auto"/>
              <w:jc w:val="center"/>
              <w:rPr>
                <w:color w:val="auto"/>
                <w:highlight w:val="none"/>
              </w:rPr>
            </w:pPr>
            <w:r>
              <w:rPr>
                <w:rFonts w:hint="eastAsia"/>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683" w:type="dxa"/>
            <w:vAlign w:val="center"/>
          </w:tcPr>
          <w:p>
            <w:pPr>
              <w:spacing w:line="360" w:lineRule="auto"/>
              <w:ind w:firstLine="28"/>
              <w:jc w:val="center"/>
              <w:rPr>
                <w:color w:val="auto"/>
                <w:highlight w:val="none"/>
              </w:rPr>
            </w:pPr>
            <w:r>
              <w:rPr>
                <w:rFonts w:hint="eastAsia"/>
                <w:color w:val="auto"/>
                <w:highlight w:val="none"/>
              </w:rPr>
              <w:t>1</w:t>
            </w:r>
          </w:p>
        </w:tc>
        <w:tc>
          <w:tcPr>
            <w:tcW w:w="1467" w:type="dxa"/>
            <w:vAlign w:val="center"/>
          </w:tcPr>
          <w:p>
            <w:pPr>
              <w:spacing w:line="360" w:lineRule="auto"/>
              <w:jc w:val="center"/>
              <w:rPr>
                <w:color w:val="auto"/>
                <w:highlight w:val="none"/>
              </w:rPr>
            </w:pPr>
            <w:r>
              <w:rPr>
                <w:rFonts w:hint="eastAsia"/>
                <w:color w:val="auto"/>
                <w:highlight w:val="none"/>
              </w:rPr>
              <w:t>报价60%</w:t>
            </w:r>
          </w:p>
        </w:tc>
        <w:tc>
          <w:tcPr>
            <w:tcW w:w="850" w:type="dxa"/>
            <w:vAlign w:val="center"/>
          </w:tcPr>
          <w:p>
            <w:pPr>
              <w:spacing w:line="360" w:lineRule="auto"/>
              <w:rPr>
                <w:color w:val="auto"/>
                <w:highlight w:val="none"/>
              </w:rPr>
            </w:pPr>
            <w:r>
              <w:rPr>
                <w:rFonts w:hint="eastAsia"/>
                <w:color w:val="auto"/>
                <w:highlight w:val="none"/>
              </w:rPr>
              <w:t>60分</w:t>
            </w:r>
          </w:p>
        </w:tc>
        <w:tc>
          <w:tcPr>
            <w:tcW w:w="5633" w:type="dxa"/>
            <w:vAlign w:val="center"/>
          </w:tcPr>
          <w:p>
            <w:pPr>
              <w:spacing w:line="360" w:lineRule="auto"/>
              <w:rPr>
                <w:color w:val="auto"/>
                <w:highlight w:val="none"/>
              </w:rPr>
            </w:pPr>
            <w:r>
              <w:rPr>
                <w:rFonts w:hint="eastAsia"/>
                <w:color w:val="auto"/>
                <w:highlight w:val="none"/>
              </w:rPr>
              <w:t>1、以满足谈判文件的全部内容要求且有效供应商的第一次报价进行评审，所有报价中最低的报价得10分，其余不得分；</w:t>
            </w:r>
          </w:p>
          <w:p>
            <w:pPr>
              <w:spacing w:line="360" w:lineRule="auto"/>
              <w:rPr>
                <w:color w:val="auto"/>
                <w:highlight w:val="none"/>
              </w:rPr>
            </w:pPr>
            <w:r>
              <w:rPr>
                <w:rFonts w:hint="eastAsia"/>
                <w:color w:val="auto"/>
                <w:highlight w:val="none"/>
              </w:rPr>
              <w:t>2、以满足谈判文件的全部内容要求且有效供应商的</w:t>
            </w:r>
            <w:r>
              <w:rPr>
                <w:rFonts w:hint="eastAsia"/>
                <w:color w:val="auto"/>
                <w:highlight w:val="none"/>
                <w:lang w:val="en-US" w:eastAsia="zh-CN"/>
              </w:rPr>
              <w:t>第二次</w:t>
            </w:r>
            <w:r>
              <w:rPr>
                <w:rFonts w:hint="eastAsia"/>
                <w:color w:val="auto"/>
                <w:highlight w:val="none"/>
              </w:rPr>
              <w:t>报价进行评审，所有</w:t>
            </w:r>
            <w:r>
              <w:rPr>
                <w:rFonts w:hint="eastAsia"/>
                <w:color w:val="auto"/>
                <w:highlight w:val="none"/>
                <w:lang w:val="en-US" w:eastAsia="zh-CN"/>
              </w:rPr>
              <w:t>第二次</w:t>
            </w:r>
            <w:r>
              <w:rPr>
                <w:rFonts w:hint="eastAsia"/>
                <w:color w:val="auto"/>
                <w:highlight w:val="none"/>
              </w:rPr>
              <w:t>报价中最低的报价作为评审基准价，其价格得50分；其他供应商的报价每高于评审基准价1%扣1分（不足1%按1%计算）扣完为止。</w:t>
            </w:r>
          </w:p>
          <w:p>
            <w:pPr>
              <w:spacing w:line="360" w:lineRule="auto"/>
              <w:rPr>
                <w:b/>
                <w:bCs/>
                <w:color w:val="auto"/>
                <w:highlight w:val="none"/>
              </w:rPr>
            </w:pPr>
            <w:r>
              <w:rPr>
                <w:rFonts w:hint="eastAsia"/>
                <w:b/>
                <w:bCs/>
                <w:color w:val="auto"/>
                <w:highlight w:val="none"/>
              </w:rPr>
              <w:t>注：</w:t>
            </w:r>
            <w:r>
              <w:rPr>
                <w:rFonts w:hint="eastAsia"/>
                <w:b/>
                <w:bCs/>
                <w:color w:val="auto"/>
                <w:highlight w:val="none"/>
                <w:lang w:val="en-US" w:eastAsia="zh-CN"/>
              </w:rPr>
              <w:t>第一轮</w:t>
            </w:r>
            <w:r>
              <w:rPr>
                <w:rFonts w:hint="eastAsia"/>
                <w:color w:val="auto"/>
                <w:highlight w:val="none"/>
              </w:rPr>
              <w:t>以报价函中的报价金额为准</w:t>
            </w:r>
            <w:r>
              <w:rPr>
                <w:rFonts w:hint="eastAsia"/>
                <w:color w:val="auto"/>
                <w:highlight w:val="none"/>
                <w:lang w:eastAsia="zh-CN"/>
              </w:rPr>
              <w:t>，</w:t>
            </w:r>
            <w:r>
              <w:rPr>
                <w:rFonts w:hint="eastAsia"/>
                <w:b/>
                <w:bCs/>
                <w:color w:val="auto"/>
                <w:highlight w:val="none"/>
              </w:rPr>
              <w:t>未超出本次采购最高限价的为有效报价，并以第一轮的最低有效报价作为第二轮限价，开展第二轮报价。</w:t>
            </w:r>
          </w:p>
          <w:p>
            <w:pPr>
              <w:spacing w:line="360" w:lineRule="auto"/>
              <w:rPr>
                <w:color w:val="auto"/>
                <w:highlight w:val="none"/>
              </w:rPr>
            </w:pPr>
          </w:p>
        </w:tc>
        <w:tc>
          <w:tcPr>
            <w:tcW w:w="919" w:type="dxa"/>
            <w:vAlign w:val="center"/>
          </w:tcPr>
          <w:p>
            <w:pPr>
              <w:spacing w:line="360" w:lineRule="auto"/>
              <w:jc w:val="center"/>
              <w:rPr>
                <w:color w:val="auto"/>
                <w:highlight w:val="none"/>
              </w:rPr>
            </w:pPr>
          </w:p>
        </w:tc>
        <w:tc>
          <w:tcPr>
            <w:tcW w:w="810"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83" w:type="dxa"/>
            <w:vAlign w:val="center"/>
          </w:tcPr>
          <w:p>
            <w:pPr>
              <w:spacing w:line="360" w:lineRule="auto"/>
              <w:ind w:firstLine="28"/>
              <w:jc w:val="center"/>
              <w:rPr>
                <w:rFonts w:hint="eastAsia" w:eastAsia="宋体"/>
                <w:color w:val="auto"/>
                <w:highlight w:val="none"/>
                <w:lang w:val="en-US" w:eastAsia="zh-CN"/>
              </w:rPr>
            </w:pPr>
            <w:r>
              <w:rPr>
                <w:rFonts w:hint="eastAsia"/>
                <w:color w:val="auto"/>
                <w:highlight w:val="none"/>
                <w:lang w:val="en-US" w:eastAsia="zh-CN"/>
              </w:rPr>
              <w:t>2</w:t>
            </w:r>
          </w:p>
        </w:tc>
        <w:tc>
          <w:tcPr>
            <w:tcW w:w="1467" w:type="dxa"/>
            <w:vAlign w:val="center"/>
          </w:tcPr>
          <w:p>
            <w:pPr>
              <w:spacing w:line="360" w:lineRule="auto"/>
              <w:ind w:firstLine="28"/>
              <w:jc w:val="center"/>
              <w:rPr>
                <w:rFonts w:hint="default" w:eastAsia="宋体"/>
                <w:color w:val="auto"/>
                <w:highlight w:val="none"/>
                <w:lang w:val="en-US" w:eastAsia="zh-CN"/>
              </w:rPr>
            </w:pPr>
            <w:r>
              <w:rPr>
                <w:rFonts w:hint="eastAsia"/>
                <w:color w:val="auto"/>
                <w:highlight w:val="none"/>
                <w:lang w:val="en-US" w:eastAsia="zh-CN"/>
              </w:rPr>
              <w:t>品牌5%</w:t>
            </w:r>
          </w:p>
        </w:tc>
        <w:tc>
          <w:tcPr>
            <w:tcW w:w="850" w:type="dxa"/>
            <w:vAlign w:val="center"/>
          </w:tcPr>
          <w:p>
            <w:pPr>
              <w:spacing w:line="360" w:lineRule="auto"/>
              <w:ind w:firstLine="28"/>
              <w:jc w:val="center"/>
              <w:rPr>
                <w:rFonts w:hint="default" w:eastAsia="宋体"/>
                <w:color w:val="auto"/>
                <w:highlight w:val="none"/>
                <w:lang w:val="en-US" w:eastAsia="zh-CN"/>
              </w:rPr>
            </w:pPr>
            <w:r>
              <w:rPr>
                <w:rFonts w:hint="eastAsia"/>
                <w:color w:val="auto"/>
                <w:highlight w:val="none"/>
                <w:lang w:val="en-US" w:eastAsia="zh-CN"/>
              </w:rPr>
              <w:t>5分</w:t>
            </w:r>
          </w:p>
        </w:tc>
        <w:tc>
          <w:tcPr>
            <w:tcW w:w="5633" w:type="dxa"/>
            <w:vAlign w:val="center"/>
          </w:tcPr>
          <w:p>
            <w:pPr>
              <w:spacing w:line="360" w:lineRule="auto"/>
              <w:rPr>
                <w:rFonts w:hint="default" w:eastAsia="宋体"/>
                <w:b/>
                <w:bCs/>
                <w:color w:val="auto"/>
                <w:highlight w:val="none"/>
                <w:lang w:val="en-US" w:eastAsia="zh-CN"/>
              </w:rPr>
            </w:pPr>
            <w:r>
              <w:rPr>
                <w:rFonts w:hint="eastAsia"/>
                <w:b w:val="0"/>
                <w:bCs w:val="0"/>
                <w:color w:val="auto"/>
                <w:highlight w:val="none"/>
                <w:lang w:val="en-US" w:eastAsia="zh-CN"/>
              </w:rPr>
              <w:t>供应商提供的核心设备（水泵）为一线品牌的（如威乐、格兰富、凯士比及同档次一线品牌）加5分。</w:t>
            </w:r>
          </w:p>
        </w:tc>
        <w:tc>
          <w:tcPr>
            <w:tcW w:w="919" w:type="dxa"/>
            <w:vAlign w:val="center"/>
          </w:tcPr>
          <w:p>
            <w:pPr>
              <w:spacing w:line="360" w:lineRule="auto"/>
              <w:ind w:left="-38"/>
              <w:jc w:val="center"/>
              <w:rPr>
                <w:color w:val="auto"/>
                <w:highlight w:val="none"/>
              </w:rPr>
            </w:pPr>
          </w:p>
        </w:tc>
        <w:tc>
          <w:tcPr>
            <w:tcW w:w="810" w:type="dxa"/>
            <w:vAlign w:val="center"/>
          </w:tcPr>
          <w:p>
            <w:pPr>
              <w:spacing w:line="360" w:lineRule="auto"/>
              <w:ind w:left="-38"/>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683" w:type="dxa"/>
            <w:vAlign w:val="center"/>
          </w:tcPr>
          <w:p>
            <w:pPr>
              <w:spacing w:line="360" w:lineRule="auto"/>
              <w:ind w:firstLine="28"/>
              <w:jc w:val="center"/>
              <w:rPr>
                <w:color w:val="auto"/>
                <w:highlight w:val="none"/>
              </w:rPr>
            </w:pPr>
            <w:r>
              <w:rPr>
                <w:rFonts w:hint="eastAsia"/>
                <w:color w:val="auto"/>
                <w:highlight w:val="none"/>
              </w:rPr>
              <w:t>2</w:t>
            </w:r>
          </w:p>
        </w:tc>
        <w:tc>
          <w:tcPr>
            <w:tcW w:w="1467" w:type="dxa"/>
            <w:vAlign w:val="center"/>
          </w:tcPr>
          <w:p>
            <w:pPr>
              <w:spacing w:line="360" w:lineRule="auto"/>
              <w:ind w:firstLine="28"/>
              <w:jc w:val="center"/>
              <w:rPr>
                <w:color w:val="auto"/>
                <w:highlight w:val="none"/>
              </w:rPr>
            </w:pPr>
            <w:r>
              <w:rPr>
                <w:rFonts w:hint="eastAsia"/>
                <w:color w:val="auto"/>
                <w:highlight w:val="none"/>
              </w:rPr>
              <w:t>服务方案</w:t>
            </w:r>
            <w:r>
              <w:rPr>
                <w:rFonts w:hint="eastAsia"/>
                <w:color w:val="auto"/>
                <w:highlight w:val="none"/>
                <w:lang w:val="en-US" w:eastAsia="zh-CN"/>
              </w:rPr>
              <w:t>15</w:t>
            </w:r>
            <w:r>
              <w:rPr>
                <w:rFonts w:hint="eastAsia"/>
                <w:color w:val="auto"/>
                <w:highlight w:val="none"/>
              </w:rPr>
              <w:t>%</w:t>
            </w:r>
          </w:p>
        </w:tc>
        <w:tc>
          <w:tcPr>
            <w:tcW w:w="850" w:type="dxa"/>
            <w:vAlign w:val="center"/>
          </w:tcPr>
          <w:p>
            <w:pPr>
              <w:spacing w:line="360" w:lineRule="auto"/>
              <w:ind w:firstLine="28"/>
              <w:jc w:val="center"/>
              <w:rPr>
                <w:color w:val="auto"/>
                <w:highlight w:val="none"/>
              </w:rPr>
            </w:pPr>
            <w:r>
              <w:rPr>
                <w:rFonts w:hint="eastAsia"/>
                <w:color w:val="auto"/>
                <w:highlight w:val="none"/>
                <w:lang w:val="en-US" w:eastAsia="zh-CN"/>
              </w:rPr>
              <w:t>15</w:t>
            </w:r>
            <w:r>
              <w:rPr>
                <w:rFonts w:hint="eastAsia"/>
                <w:color w:val="auto"/>
                <w:highlight w:val="none"/>
              </w:rPr>
              <w:t>分</w:t>
            </w:r>
          </w:p>
        </w:tc>
        <w:tc>
          <w:tcPr>
            <w:tcW w:w="5633" w:type="dxa"/>
            <w:vAlign w:val="center"/>
          </w:tcPr>
          <w:p>
            <w:pPr>
              <w:spacing w:line="360" w:lineRule="auto"/>
              <w:rPr>
                <w:rFonts w:hint="eastAsia"/>
                <w:b w:val="0"/>
                <w:bCs/>
                <w:color w:val="auto"/>
                <w:highlight w:val="none"/>
              </w:rPr>
            </w:pPr>
            <w:r>
              <w:rPr>
                <w:rFonts w:hint="eastAsia"/>
                <w:b/>
                <w:bCs w:val="0"/>
                <w:color w:val="auto"/>
                <w:highlight w:val="none"/>
              </w:rPr>
              <w:t>进度控制措施（本项4分）</w:t>
            </w:r>
            <w:r>
              <w:rPr>
                <w:rFonts w:hint="eastAsia"/>
                <w:b w:val="0"/>
                <w:bCs/>
                <w:color w:val="auto"/>
                <w:highlight w:val="none"/>
              </w:rPr>
              <w:t>：根据供应商提供的进度措施（包括但不限于①进度控制措施；②突发情况的解决方案）进行综合评审。每缺少一项内容扣2分，每一处存在错误或不满足扣1分。</w:t>
            </w:r>
          </w:p>
          <w:p>
            <w:pPr>
              <w:spacing w:line="360" w:lineRule="auto"/>
              <w:rPr>
                <w:rFonts w:hint="eastAsia"/>
                <w:b w:val="0"/>
                <w:bCs/>
                <w:color w:val="auto"/>
                <w:highlight w:val="none"/>
              </w:rPr>
            </w:pPr>
            <w:r>
              <w:rPr>
                <w:rFonts w:hint="eastAsia"/>
                <w:b/>
                <w:bCs w:val="0"/>
                <w:color w:val="auto"/>
                <w:highlight w:val="none"/>
              </w:rPr>
              <w:t>质量控制措施（本项8分）</w:t>
            </w:r>
            <w:r>
              <w:rPr>
                <w:rFonts w:hint="eastAsia"/>
                <w:b w:val="0"/>
                <w:bCs/>
                <w:color w:val="auto"/>
                <w:highlight w:val="none"/>
              </w:rPr>
              <w:t>：根据供应商提供的质量措施（包括但不限于①质量控制措</w:t>
            </w:r>
            <w:bookmarkStart w:id="305" w:name="_GoBack"/>
            <w:bookmarkEnd w:id="305"/>
            <w:r>
              <w:rPr>
                <w:rFonts w:hint="eastAsia"/>
                <w:b w:val="0"/>
                <w:bCs/>
                <w:color w:val="auto"/>
                <w:highlight w:val="none"/>
              </w:rPr>
              <w:t>施；②质量管理制度的建立；③关于质量的奖惩制度的建立；④突发质量问题的解决方案）进行综合评审。每缺少一项内容扣2分，每一处存在错误或不满足扣1分。</w:t>
            </w:r>
          </w:p>
          <w:p>
            <w:pPr>
              <w:spacing w:line="360" w:lineRule="auto"/>
              <w:rPr>
                <w:color w:val="auto"/>
                <w:highlight w:val="none"/>
              </w:rPr>
            </w:pPr>
            <w:r>
              <w:rPr>
                <w:rFonts w:hint="eastAsia"/>
                <w:b/>
                <w:bCs w:val="0"/>
                <w:color w:val="auto"/>
                <w:highlight w:val="none"/>
              </w:rPr>
              <w:t>环境保护措施（本项3分）</w:t>
            </w:r>
            <w:r>
              <w:rPr>
                <w:rFonts w:hint="eastAsia"/>
                <w:b w:val="0"/>
                <w:bCs/>
                <w:color w:val="auto"/>
                <w:highlight w:val="none"/>
              </w:rPr>
              <w:t>：根据供应商提供的环境保护措施（包括但不限于①安装过程中减少噪音措施；②安装时垃圾处理措施；③周围环境保护措施）进行综合评审。每缺少一项内容扣1分，每一处存在错误或不满足扣1分。</w:t>
            </w:r>
          </w:p>
        </w:tc>
        <w:tc>
          <w:tcPr>
            <w:tcW w:w="919" w:type="dxa"/>
            <w:vAlign w:val="center"/>
          </w:tcPr>
          <w:p>
            <w:pPr>
              <w:spacing w:line="360" w:lineRule="auto"/>
              <w:ind w:left="-38"/>
              <w:jc w:val="center"/>
              <w:rPr>
                <w:color w:val="auto"/>
                <w:highlight w:val="none"/>
              </w:rPr>
            </w:pPr>
          </w:p>
        </w:tc>
        <w:tc>
          <w:tcPr>
            <w:tcW w:w="810" w:type="dxa"/>
            <w:vAlign w:val="center"/>
          </w:tcPr>
          <w:p>
            <w:pPr>
              <w:spacing w:line="360" w:lineRule="auto"/>
              <w:ind w:left="-38"/>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jc w:val="center"/>
        </w:trPr>
        <w:tc>
          <w:tcPr>
            <w:tcW w:w="683" w:type="dxa"/>
            <w:vAlign w:val="center"/>
          </w:tcPr>
          <w:p>
            <w:pPr>
              <w:spacing w:line="360" w:lineRule="auto"/>
              <w:ind w:firstLine="28"/>
              <w:jc w:val="center"/>
              <w:rPr>
                <w:color w:val="auto"/>
                <w:highlight w:val="none"/>
              </w:rPr>
            </w:pPr>
            <w:r>
              <w:rPr>
                <w:rFonts w:hint="eastAsia"/>
                <w:color w:val="auto"/>
                <w:highlight w:val="none"/>
              </w:rPr>
              <w:t>3</w:t>
            </w:r>
          </w:p>
        </w:tc>
        <w:tc>
          <w:tcPr>
            <w:tcW w:w="1467" w:type="dxa"/>
            <w:vAlign w:val="center"/>
          </w:tcPr>
          <w:p>
            <w:pPr>
              <w:spacing w:line="360" w:lineRule="auto"/>
              <w:ind w:firstLine="28"/>
              <w:jc w:val="center"/>
              <w:rPr>
                <w:color w:val="auto"/>
                <w:highlight w:val="none"/>
              </w:rPr>
            </w:pPr>
            <w:r>
              <w:rPr>
                <w:rFonts w:hint="eastAsia"/>
                <w:color w:val="auto"/>
                <w:highlight w:val="none"/>
              </w:rPr>
              <w:t>综合实力</w:t>
            </w:r>
            <w:r>
              <w:rPr>
                <w:rFonts w:hint="eastAsia"/>
                <w:color w:val="auto"/>
                <w:highlight w:val="none"/>
                <w:lang w:val="en-US" w:eastAsia="zh-CN"/>
              </w:rPr>
              <w:t>10</w:t>
            </w:r>
            <w:r>
              <w:rPr>
                <w:rFonts w:hint="eastAsia"/>
                <w:color w:val="auto"/>
                <w:highlight w:val="none"/>
              </w:rPr>
              <w:t>%</w:t>
            </w:r>
          </w:p>
        </w:tc>
        <w:tc>
          <w:tcPr>
            <w:tcW w:w="850" w:type="dxa"/>
            <w:vAlign w:val="center"/>
          </w:tcPr>
          <w:p>
            <w:pPr>
              <w:spacing w:line="360" w:lineRule="auto"/>
              <w:ind w:firstLine="28"/>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5633" w:type="dxa"/>
          </w:tcPr>
          <w:p>
            <w:pPr>
              <w:spacing w:line="360" w:lineRule="auto"/>
              <w:ind w:firstLine="28"/>
              <w:rPr>
                <w:color w:val="auto"/>
                <w:highlight w:val="none"/>
              </w:rPr>
            </w:pPr>
            <w:r>
              <w:rPr>
                <w:rFonts w:hint="eastAsia"/>
                <w:color w:val="auto"/>
                <w:highlight w:val="none"/>
              </w:rPr>
              <w:t>1、供应商具有质量管理体系认证证书、环境管理体系认证证书、职业健康安全管理体系认证证书的，每有一个得</w:t>
            </w:r>
            <w:r>
              <w:rPr>
                <w:rFonts w:hint="eastAsia"/>
                <w:color w:val="auto"/>
                <w:highlight w:val="none"/>
                <w:lang w:val="en-US" w:eastAsia="zh-CN"/>
              </w:rPr>
              <w:t>2</w:t>
            </w:r>
            <w:r>
              <w:rPr>
                <w:rFonts w:hint="eastAsia"/>
                <w:color w:val="auto"/>
                <w:highlight w:val="none"/>
              </w:rPr>
              <w:t>分，最多得</w:t>
            </w:r>
            <w:r>
              <w:rPr>
                <w:rFonts w:hint="eastAsia"/>
                <w:color w:val="auto"/>
                <w:highlight w:val="none"/>
                <w:lang w:val="en-US" w:eastAsia="zh-CN"/>
              </w:rPr>
              <w:t>6</w:t>
            </w:r>
            <w:r>
              <w:rPr>
                <w:rFonts w:hint="eastAsia"/>
                <w:color w:val="auto"/>
                <w:highlight w:val="none"/>
              </w:rPr>
              <w:t>分。</w:t>
            </w:r>
          </w:p>
          <w:p>
            <w:pPr>
              <w:spacing w:line="360" w:lineRule="auto"/>
              <w:ind w:firstLine="28"/>
              <w:rPr>
                <w:color w:val="auto"/>
                <w:highlight w:val="none"/>
              </w:rPr>
            </w:pPr>
            <w:r>
              <w:rPr>
                <w:color w:val="auto"/>
                <w:highlight w:val="none"/>
              </w:rPr>
              <w:t>2</w:t>
            </w:r>
            <w:r>
              <w:rPr>
                <w:rFonts w:hint="eastAsia"/>
                <w:color w:val="auto"/>
                <w:highlight w:val="none"/>
              </w:rPr>
              <w:t>、供应商提供2019年01月01日至今类似项目业绩的，每提供一个得</w:t>
            </w:r>
            <w:r>
              <w:rPr>
                <w:rFonts w:hint="eastAsia"/>
                <w:color w:val="auto"/>
                <w:highlight w:val="none"/>
                <w:lang w:val="en-US" w:eastAsia="zh-CN"/>
              </w:rPr>
              <w:t>1</w:t>
            </w:r>
            <w:r>
              <w:rPr>
                <w:rFonts w:hint="eastAsia"/>
                <w:color w:val="auto"/>
                <w:highlight w:val="none"/>
              </w:rPr>
              <w:t>分，最多得</w:t>
            </w:r>
            <w:r>
              <w:rPr>
                <w:rFonts w:hint="eastAsia"/>
                <w:color w:val="auto"/>
                <w:highlight w:val="none"/>
                <w:lang w:val="en-US" w:eastAsia="zh-CN"/>
              </w:rPr>
              <w:t>4</w:t>
            </w:r>
            <w:r>
              <w:rPr>
                <w:rFonts w:hint="eastAsia"/>
                <w:color w:val="auto"/>
                <w:highlight w:val="none"/>
              </w:rPr>
              <w:t>分。</w:t>
            </w:r>
          </w:p>
          <w:p>
            <w:pPr>
              <w:spacing w:line="360" w:lineRule="auto"/>
              <w:rPr>
                <w:b/>
                <w:color w:val="auto"/>
                <w:highlight w:val="none"/>
              </w:rPr>
            </w:pPr>
            <w:r>
              <w:rPr>
                <w:rFonts w:hint="eastAsia"/>
                <w:b/>
                <w:color w:val="auto"/>
                <w:highlight w:val="none"/>
              </w:rPr>
              <w:t>注：</w:t>
            </w:r>
            <w:r>
              <w:rPr>
                <w:rFonts w:hint="eastAsia"/>
                <w:color w:val="auto"/>
                <w:highlight w:val="none"/>
              </w:rPr>
              <w:t>上述“1、2”项须提供相应证书复印件并加盖鲜章，不提供不得分。</w:t>
            </w:r>
          </w:p>
        </w:tc>
        <w:tc>
          <w:tcPr>
            <w:tcW w:w="919" w:type="dxa"/>
            <w:vAlign w:val="center"/>
          </w:tcPr>
          <w:p>
            <w:pPr>
              <w:spacing w:line="360" w:lineRule="auto"/>
              <w:ind w:left="-38"/>
              <w:jc w:val="center"/>
              <w:rPr>
                <w:color w:val="auto"/>
                <w:highlight w:val="none"/>
              </w:rPr>
            </w:pPr>
          </w:p>
        </w:tc>
        <w:tc>
          <w:tcPr>
            <w:tcW w:w="810" w:type="dxa"/>
            <w:vAlign w:val="center"/>
          </w:tcPr>
          <w:p>
            <w:pPr>
              <w:spacing w:line="360" w:lineRule="auto"/>
              <w:ind w:left="-38"/>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color w:val="auto"/>
                <w:highlight w:val="none"/>
              </w:rPr>
            </w:pPr>
            <w:r>
              <w:rPr>
                <w:rFonts w:hint="eastAsia"/>
                <w:color w:val="auto"/>
                <w:highlight w:val="none"/>
              </w:rPr>
              <w:t>9</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color w:val="auto"/>
                <w:highlight w:val="none"/>
              </w:rPr>
            </w:pPr>
            <w:r>
              <w:rPr>
                <w:rFonts w:hint="eastAsia"/>
                <w:color w:val="auto"/>
                <w:highlight w:val="none"/>
              </w:rPr>
              <w:t>后续服务方案10%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color w:val="auto"/>
                <w:highlight w:val="none"/>
              </w:rPr>
            </w:pPr>
            <w:r>
              <w:rPr>
                <w:rFonts w:hint="eastAsia"/>
                <w:color w:val="auto"/>
                <w:highlight w:val="none"/>
              </w:rPr>
              <w:t>10分</w:t>
            </w:r>
          </w:p>
        </w:tc>
        <w:tc>
          <w:tcPr>
            <w:tcW w:w="5633"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根据供应商提供的后续服务方案（包括但不限于①后续服务响应时间及范围；②后续服务人员；③维修方式；④备品备件的供应；⑤培训方案）进性综合评审。每缺少一项内容扣</w:t>
            </w:r>
            <w:r>
              <w:rPr>
                <w:rFonts w:hint="eastAsia"/>
                <w:color w:val="auto"/>
                <w:highlight w:val="none"/>
                <w:lang w:val="en-US" w:eastAsia="zh-CN"/>
              </w:rPr>
              <w:t>1.2</w:t>
            </w:r>
            <w:r>
              <w:rPr>
                <w:rFonts w:hint="eastAsia"/>
                <w:color w:val="auto"/>
                <w:highlight w:val="none"/>
              </w:rPr>
              <w:t>分，</w:t>
            </w:r>
            <w:r>
              <w:rPr>
                <w:rFonts w:hint="eastAsia"/>
                <w:color w:val="auto"/>
                <w:highlight w:val="none"/>
                <w:lang w:val="en-US" w:eastAsia="zh-CN"/>
              </w:rPr>
              <w:t>每一处存在错误或不满足扣0.6分。</w:t>
            </w:r>
          </w:p>
          <w:p>
            <w:pPr>
              <w:numPr>
                <w:ilvl w:val="0"/>
                <w:numId w:val="5"/>
              </w:numPr>
              <w:spacing w:line="360" w:lineRule="auto"/>
              <w:rPr>
                <w:color w:val="auto"/>
                <w:highlight w:val="none"/>
              </w:rPr>
            </w:pPr>
            <w:r>
              <w:rPr>
                <w:rFonts w:hint="eastAsia"/>
                <w:color w:val="auto"/>
                <w:highlight w:val="none"/>
              </w:rPr>
              <w:t>2、供应商在项目所在省内具有售后服务机构的得</w:t>
            </w:r>
            <w:r>
              <w:rPr>
                <w:color w:val="auto"/>
                <w:highlight w:val="none"/>
              </w:rPr>
              <w:t>2</w:t>
            </w:r>
            <w:r>
              <w:rPr>
                <w:rFonts w:hint="eastAsia"/>
                <w:color w:val="auto"/>
                <w:highlight w:val="none"/>
              </w:rPr>
              <w:t>分（须提供营业执照或房租租赁合同或其他证明材料复印件并加盖鲜章，不提供不得分）。</w:t>
            </w:r>
          </w:p>
          <w:p>
            <w:pPr>
              <w:spacing w:line="360" w:lineRule="auto"/>
              <w:rPr>
                <w:color w:val="auto"/>
                <w:highlight w:val="none"/>
              </w:rPr>
            </w:pPr>
            <w:r>
              <w:rPr>
                <w:rFonts w:hint="eastAsia"/>
                <w:color w:val="auto"/>
                <w:highlight w:val="none"/>
              </w:rPr>
              <w:t>3、供应商在项目所在省内具有备品备件仓库的得</w:t>
            </w:r>
            <w:r>
              <w:rPr>
                <w:color w:val="auto"/>
                <w:highlight w:val="none"/>
              </w:rPr>
              <w:t>2</w:t>
            </w:r>
            <w:r>
              <w:rPr>
                <w:rFonts w:hint="eastAsia"/>
                <w:color w:val="auto"/>
                <w:highlight w:val="none"/>
              </w:rPr>
              <w:t xml:space="preserve">分（须提供备品备件照片、仓库的相关证明材料复印件并加盖鲜章，不提供不得分）。                              </w:t>
            </w:r>
          </w:p>
        </w:tc>
        <w:tc>
          <w:tcPr>
            <w:tcW w:w="919" w:type="dxa"/>
            <w:tcBorders>
              <w:top w:val="single" w:color="auto" w:sz="4" w:space="0"/>
              <w:left w:val="single" w:color="auto" w:sz="4" w:space="0"/>
              <w:bottom w:val="single" w:color="auto" w:sz="4" w:space="0"/>
              <w:right w:val="single" w:color="auto" w:sz="4" w:space="0"/>
            </w:tcBorders>
            <w:vAlign w:val="center"/>
          </w:tcPr>
          <w:p>
            <w:pPr>
              <w:spacing w:line="360" w:lineRule="auto"/>
              <w:ind w:left="-38"/>
              <w:jc w:val="center"/>
              <w:rPr>
                <w:color w:val="auto"/>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ind w:left="-38"/>
              <w:jc w:val="center"/>
              <w:rPr>
                <w:color w:val="auto"/>
                <w:highlight w:val="none"/>
              </w:rPr>
            </w:pPr>
          </w:p>
        </w:tc>
      </w:tr>
    </w:tbl>
    <w:p>
      <w:pPr>
        <w:spacing w:line="360" w:lineRule="auto"/>
        <w:rPr>
          <w:highlight w:val="none"/>
        </w:rPr>
      </w:pPr>
      <w:r>
        <w:rPr>
          <w:rFonts w:hint="eastAsia"/>
          <w:highlight w:val="none"/>
        </w:rPr>
        <w:t>注：评分的取值按四舍五入法，保留小数点后两位。</w:t>
      </w:r>
    </w:p>
    <w:p>
      <w:pPr>
        <w:rPr>
          <w:highlight w:val="none"/>
        </w:rPr>
      </w:pPr>
    </w:p>
    <w:p>
      <w:pPr>
        <w:pStyle w:val="4"/>
        <w:widowControl/>
        <w:spacing w:line="360" w:lineRule="auto"/>
        <w:ind w:firstLine="361" w:firstLineChars="150"/>
        <w:jc w:val="left"/>
        <w:rPr>
          <w:rFonts w:cs="仿宋"/>
          <w:b w:val="0"/>
          <w:highlight w:val="none"/>
        </w:rPr>
      </w:pPr>
      <w:r>
        <w:rPr>
          <w:rFonts w:ascii="宋体" w:hAnsi="宋体" w:eastAsia="宋体" w:cs="仿宋"/>
          <w:sz w:val="24"/>
          <w:szCs w:val="24"/>
          <w:highlight w:val="none"/>
        </w:rPr>
        <w:t>2</w:t>
      </w:r>
      <w:r>
        <w:rPr>
          <w:rFonts w:hint="eastAsia" w:ascii="宋体" w:hAnsi="宋体" w:eastAsia="宋体" w:cs="仿宋"/>
          <w:sz w:val="24"/>
          <w:szCs w:val="24"/>
          <w:highlight w:val="none"/>
        </w:rPr>
        <w:t>.总则</w:t>
      </w:r>
      <w:bookmarkEnd w:id="281"/>
      <w:bookmarkEnd w:id="282"/>
      <w:bookmarkEnd w:id="283"/>
      <w:bookmarkEnd w:id="284"/>
    </w:p>
    <w:p>
      <w:pPr>
        <w:widowControl w:val="0"/>
        <w:spacing w:line="360" w:lineRule="auto"/>
        <w:ind w:firstLine="480" w:firstLineChars="200"/>
        <w:jc w:val="both"/>
        <w:rPr>
          <w:rFonts w:cs="仿宋"/>
          <w:highlight w:val="none"/>
        </w:rPr>
      </w:pPr>
      <w:bookmarkStart w:id="285" w:name="_Toc217446098"/>
      <w:r>
        <w:rPr>
          <w:rFonts w:cs="仿宋"/>
          <w:kern w:val="2"/>
          <w:highlight w:val="none"/>
          <w:lang w:bidi="ar"/>
        </w:rPr>
        <w:t>2</w:t>
      </w:r>
      <w:r>
        <w:rPr>
          <w:rFonts w:hint="eastAsia" w:cs="仿宋"/>
          <w:kern w:val="2"/>
          <w:highlight w:val="none"/>
          <w:lang w:bidi="ar"/>
        </w:rPr>
        <w:t>.1结合采购项目特点制定本竞争性谈判办法。</w:t>
      </w:r>
    </w:p>
    <w:p>
      <w:pPr>
        <w:widowControl w:val="0"/>
        <w:spacing w:line="360" w:lineRule="auto"/>
        <w:ind w:firstLine="482" w:firstLineChars="200"/>
        <w:jc w:val="both"/>
        <w:rPr>
          <w:rFonts w:cs="仿宋"/>
          <w:highlight w:val="none"/>
        </w:rPr>
      </w:pPr>
      <w:r>
        <w:rPr>
          <w:rFonts w:cs="仿宋"/>
          <w:b/>
          <w:bCs/>
          <w:kern w:val="2"/>
          <w:highlight w:val="none"/>
          <w:lang w:bidi="ar"/>
        </w:rPr>
        <w:t>2</w:t>
      </w:r>
      <w:r>
        <w:rPr>
          <w:rFonts w:hint="eastAsia" w:cs="仿宋"/>
          <w:b/>
          <w:bCs/>
          <w:kern w:val="2"/>
          <w:highlight w:val="none"/>
          <w:lang w:bidi="ar"/>
        </w:rPr>
        <w:t>.2</w:t>
      </w:r>
      <w:r>
        <w:rPr>
          <w:rFonts w:hint="eastAsia" w:cs="仿宋"/>
          <w:kern w:val="2"/>
          <w:highlight w:val="none"/>
          <w:lang w:bidi="ar"/>
        </w:rPr>
        <w:t>竞争性谈判由采购代理机构负责组织：</w:t>
      </w:r>
    </w:p>
    <w:p>
      <w:pPr>
        <w:widowControl w:val="0"/>
        <w:spacing w:line="360" w:lineRule="auto"/>
        <w:ind w:firstLine="480" w:firstLineChars="200"/>
        <w:jc w:val="both"/>
        <w:rPr>
          <w:rFonts w:cs="仿宋"/>
          <w:highlight w:val="none"/>
        </w:rPr>
      </w:pPr>
      <w:r>
        <w:rPr>
          <w:rFonts w:hint="eastAsia" w:cs="仿宋"/>
          <w:bCs/>
          <w:kern w:val="2"/>
          <w:highlight w:val="none"/>
          <w:lang w:bidi="ar"/>
        </w:rPr>
        <w:t>评审委员会由</w:t>
      </w:r>
      <w:r>
        <w:rPr>
          <w:rFonts w:cs="仿宋"/>
          <w:bCs/>
          <w:kern w:val="2"/>
          <w:highlight w:val="none"/>
          <w:lang w:bidi="ar"/>
        </w:rPr>
        <w:t>3名专家组成，其中技术、经济方面的专家不得少于总数的2/3。评审委员会成员</w:t>
      </w:r>
      <w:r>
        <w:rPr>
          <w:rFonts w:hint="eastAsia" w:cs="仿宋"/>
          <w:bCs/>
          <w:kern w:val="2"/>
          <w:highlight w:val="none"/>
          <w:lang w:bidi="ar"/>
        </w:rPr>
        <w:t>全部</w:t>
      </w:r>
      <w:r>
        <w:rPr>
          <w:rFonts w:cs="仿宋"/>
          <w:bCs/>
          <w:kern w:val="2"/>
          <w:highlight w:val="none"/>
          <w:lang w:bidi="ar"/>
        </w:rPr>
        <w:t>由招标代理机构通过随机方式在专家库内抽取方式产生。</w:t>
      </w:r>
    </w:p>
    <w:p>
      <w:pPr>
        <w:widowControl w:val="0"/>
        <w:spacing w:line="360" w:lineRule="auto"/>
        <w:ind w:firstLine="482" w:firstLineChars="200"/>
        <w:jc w:val="both"/>
        <w:rPr>
          <w:rFonts w:cs="仿宋"/>
          <w:bCs/>
          <w:highlight w:val="none"/>
        </w:rPr>
      </w:pPr>
      <w:r>
        <w:rPr>
          <w:rFonts w:cs="仿宋"/>
          <w:b/>
          <w:kern w:val="2"/>
          <w:highlight w:val="none"/>
          <w:lang w:bidi="ar"/>
        </w:rPr>
        <w:t>2</w:t>
      </w:r>
      <w:r>
        <w:rPr>
          <w:rFonts w:hint="eastAsia" w:cs="仿宋"/>
          <w:b/>
          <w:kern w:val="2"/>
          <w:highlight w:val="none"/>
          <w:lang w:bidi="ar"/>
        </w:rPr>
        <w:t>.2.1</w:t>
      </w:r>
      <w:r>
        <w:rPr>
          <w:rFonts w:hint="eastAsia" w:cs="仿宋"/>
          <w:bCs/>
          <w:kern w:val="2"/>
          <w:highlight w:val="none"/>
          <w:lang w:bidi="ar"/>
        </w:rPr>
        <w:t>资格审查：</w:t>
      </w:r>
    </w:p>
    <w:p>
      <w:pPr>
        <w:widowControl w:val="0"/>
        <w:spacing w:line="360" w:lineRule="auto"/>
        <w:ind w:firstLine="480" w:firstLineChars="200"/>
        <w:jc w:val="both"/>
        <w:rPr>
          <w:rFonts w:cs="仿宋"/>
          <w:bCs/>
          <w:highlight w:val="none"/>
        </w:rPr>
      </w:pPr>
      <w:r>
        <w:rPr>
          <w:rFonts w:hint="eastAsia" w:cs="仿宋"/>
          <w:bCs/>
          <w:kern w:val="2"/>
          <w:highlight w:val="none"/>
          <w:lang w:bidi="ar"/>
        </w:rPr>
        <w:t>授权评审委员会进行资格审查。</w:t>
      </w:r>
    </w:p>
    <w:p>
      <w:pPr>
        <w:widowControl w:val="0"/>
        <w:spacing w:line="360" w:lineRule="auto"/>
        <w:ind w:firstLine="480" w:firstLineChars="200"/>
        <w:jc w:val="both"/>
        <w:rPr>
          <w:rFonts w:cs="仿宋"/>
          <w:highlight w:val="none"/>
        </w:rPr>
      </w:pPr>
      <w:r>
        <w:rPr>
          <w:rFonts w:cs="仿宋"/>
          <w:kern w:val="2"/>
          <w:highlight w:val="none"/>
          <w:lang w:bidi="ar"/>
        </w:rPr>
        <w:t>2</w:t>
      </w:r>
      <w:r>
        <w:rPr>
          <w:rFonts w:hint="eastAsia" w:cs="仿宋"/>
          <w:kern w:val="2"/>
          <w:highlight w:val="none"/>
          <w:lang w:bidi="ar"/>
        </w:rPr>
        <w:t>.2.2符合性审查：由评审委员会具体负责。</w:t>
      </w:r>
    </w:p>
    <w:p>
      <w:pPr>
        <w:widowControl w:val="0"/>
        <w:spacing w:line="360" w:lineRule="auto"/>
        <w:ind w:firstLine="480" w:firstLineChars="200"/>
        <w:jc w:val="both"/>
        <w:rPr>
          <w:rFonts w:cs="仿宋"/>
          <w:highlight w:val="none"/>
        </w:rPr>
      </w:pPr>
      <w:r>
        <w:rPr>
          <w:rFonts w:cs="仿宋"/>
          <w:kern w:val="2"/>
          <w:highlight w:val="none"/>
          <w:lang w:bidi="ar"/>
        </w:rPr>
        <w:t>2</w:t>
      </w:r>
      <w:r>
        <w:rPr>
          <w:rFonts w:hint="eastAsia" w:cs="仿宋"/>
          <w:kern w:val="2"/>
          <w:highlight w:val="none"/>
          <w:lang w:bidi="ar"/>
        </w:rPr>
        <w:t>.3 竞争性谈判应遵循公平、公正、科学及择优的原则，并以相同的评审程序和标准对待所有的供应商。</w:t>
      </w:r>
    </w:p>
    <w:p>
      <w:pPr>
        <w:widowControl w:val="0"/>
        <w:spacing w:line="360" w:lineRule="auto"/>
        <w:ind w:firstLine="480" w:firstLineChars="200"/>
        <w:jc w:val="both"/>
        <w:rPr>
          <w:rFonts w:cs="仿宋"/>
          <w:highlight w:val="none"/>
        </w:rPr>
      </w:pPr>
      <w:r>
        <w:rPr>
          <w:rFonts w:cs="仿宋"/>
          <w:kern w:val="2"/>
          <w:highlight w:val="none"/>
          <w:lang w:bidi="ar"/>
        </w:rPr>
        <w:t>2</w:t>
      </w:r>
      <w:r>
        <w:rPr>
          <w:rFonts w:hint="eastAsia" w:cs="仿宋"/>
          <w:kern w:val="2"/>
          <w:highlight w:val="none"/>
          <w:lang w:bidi="ar"/>
        </w:rPr>
        <w:t xml:space="preserve">.4 </w:t>
      </w:r>
      <w:r>
        <w:rPr>
          <w:rFonts w:hint="eastAsia" w:cs="仿宋"/>
          <w:bCs/>
          <w:kern w:val="2"/>
          <w:highlight w:val="none"/>
          <w:lang w:bidi="ar"/>
        </w:rPr>
        <w:t>评审委员会</w:t>
      </w:r>
      <w:r>
        <w:rPr>
          <w:rFonts w:hint="eastAsia" w:cs="仿宋"/>
          <w:kern w:val="2"/>
          <w:highlight w:val="none"/>
          <w:lang w:bidi="ar"/>
        </w:rPr>
        <w:t>按照竞争性谈判文件规定的审查方法和标准进行审查，并独立履行下列职责：</w:t>
      </w:r>
    </w:p>
    <w:p>
      <w:pPr>
        <w:widowControl w:val="0"/>
        <w:spacing w:line="360" w:lineRule="auto"/>
        <w:ind w:firstLine="480" w:firstLineChars="200"/>
        <w:jc w:val="both"/>
        <w:rPr>
          <w:rFonts w:cs="仿宋"/>
          <w:highlight w:val="none"/>
        </w:rPr>
      </w:pPr>
      <w:r>
        <w:rPr>
          <w:rFonts w:hint="eastAsia" w:cs="仿宋"/>
          <w:kern w:val="2"/>
          <w:highlight w:val="none"/>
          <w:lang w:bidi="ar"/>
        </w:rPr>
        <w:t>（1）熟悉和理解竞争性谈判文件；</w:t>
      </w:r>
    </w:p>
    <w:p>
      <w:pPr>
        <w:widowControl w:val="0"/>
        <w:spacing w:line="360" w:lineRule="auto"/>
        <w:ind w:firstLine="480" w:firstLineChars="200"/>
        <w:jc w:val="both"/>
        <w:rPr>
          <w:rFonts w:cs="仿宋"/>
          <w:highlight w:val="none"/>
        </w:rPr>
      </w:pPr>
      <w:r>
        <w:rPr>
          <w:rFonts w:hint="eastAsia" w:cs="仿宋"/>
          <w:kern w:val="2"/>
          <w:highlight w:val="none"/>
          <w:lang w:bidi="ar"/>
        </w:rPr>
        <w:t>（2）审查资格证明文件是否符合竞争性谈判文件要求，并作出评价；</w:t>
      </w:r>
    </w:p>
    <w:p>
      <w:pPr>
        <w:widowControl w:val="0"/>
        <w:spacing w:line="360" w:lineRule="auto"/>
        <w:ind w:firstLine="480" w:firstLineChars="200"/>
        <w:jc w:val="both"/>
        <w:rPr>
          <w:rFonts w:cs="仿宋"/>
          <w:highlight w:val="none"/>
        </w:rPr>
      </w:pPr>
      <w:r>
        <w:rPr>
          <w:rFonts w:hint="eastAsia" w:cs="仿宋"/>
          <w:kern w:val="2"/>
          <w:highlight w:val="none"/>
          <w:lang w:bidi="ar"/>
        </w:rPr>
        <w:t>（3）根据需要要求供应商对响应文件资格部分有关事项作出解释或者澄清；根据需要要求采购人对响应文件资格部分有关事项作出解释或者澄清；</w:t>
      </w:r>
    </w:p>
    <w:p>
      <w:pPr>
        <w:widowControl w:val="0"/>
        <w:spacing w:line="360" w:lineRule="auto"/>
        <w:ind w:firstLine="480" w:firstLineChars="200"/>
        <w:jc w:val="both"/>
        <w:rPr>
          <w:rFonts w:cs="仿宋"/>
          <w:highlight w:val="none"/>
        </w:rPr>
      </w:pPr>
      <w:r>
        <w:rPr>
          <w:rFonts w:hint="eastAsia" w:cs="仿宋"/>
          <w:kern w:val="2"/>
          <w:highlight w:val="none"/>
          <w:lang w:bidi="ar"/>
        </w:rPr>
        <w:t>（4）按照竞争性谈判文件规定的办法和标准确定资格审查合格的供应商；</w:t>
      </w:r>
    </w:p>
    <w:p>
      <w:pPr>
        <w:widowControl w:val="0"/>
        <w:spacing w:line="360" w:lineRule="auto"/>
        <w:ind w:firstLine="480" w:firstLineChars="200"/>
        <w:jc w:val="both"/>
        <w:rPr>
          <w:rFonts w:cs="仿宋"/>
          <w:highlight w:val="none"/>
        </w:rPr>
      </w:pPr>
      <w:r>
        <w:rPr>
          <w:rFonts w:hint="eastAsia" w:cs="仿宋"/>
          <w:kern w:val="2"/>
          <w:highlight w:val="none"/>
          <w:lang w:bidi="ar"/>
        </w:rPr>
        <w:t>（5）起草资格审查报告并进行签署；</w:t>
      </w:r>
    </w:p>
    <w:p>
      <w:pPr>
        <w:widowControl w:val="0"/>
        <w:spacing w:line="360" w:lineRule="auto"/>
        <w:ind w:firstLine="480" w:firstLineChars="200"/>
        <w:jc w:val="both"/>
        <w:rPr>
          <w:rFonts w:cs="仿宋"/>
          <w:highlight w:val="none"/>
        </w:rPr>
      </w:pPr>
      <w:r>
        <w:rPr>
          <w:rFonts w:hint="eastAsia" w:cs="仿宋"/>
          <w:kern w:val="2"/>
          <w:highlight w:val="none"/>
          <w:lang w:bidi="ar"/>
        </w:rPr>
        <w:t>（6）向采购人、采购代理机构或者其他监督部门报告非法干预资格审查工作的行为；</w:t>
      </w:r>
    </w:p>
    <w:p>
      <w:pPr>
        <w:widowControl w:val="0"/>
        <w:spacing w:line="360" w:lineRule="auto"/>
        <w:ind w:firstLine="480" w:firstLineChars="200"/>
        <w:jc w:val="both"/>
        <w:rPr>
          <w:rFonts w:cs="仿宋"/>
          <w:highlight w:val="none"/>
        </w:rPr>
      </w:pPr>
      <w:r>
        <w:rPr>
          <w:rFonts w:hint="eastAsia" w:cs="仿宋"/>
          <w:kern w:val="2"/>
          <w:highlight w:val="none"/>
          <w:lang w:bidi="ar"/>
        </w:rPr>
        <w:t>（7）法律、法规和规章规定的其他职责。</w:t>
      </w:r>
    </w:p>
    <w:p>
      <w:pPr>
        <w:spacing w:line="360" w:lineRule="auto"/>
        <w:ind w:firstLine="480" w:firstLineChars="200"/>
        <w:rPr>
          <w:rFonts w:cs="仿宋"/>
          <w:highlight w:val="none"/>
        </w:rPr>
      </w:pPr>
      <w:r>
        <w:rPr>
          <w:rFonts w:cs="仿宋"/>
          <w:kern w:val="2"/>
          <w:highlight w:val="none"/>
          <w:lang w:bidi="ar"/>
        </w:rPr>
        <w:t>2</w:t>
      </w:r>
      <w:r>
        <w:rPr>
          <w:rFonts w:hint="eastAsia" w:cs="仿宋"/>
          <w:kern w:val="2"/>
          <w:highlight w:val="none"/>
          <w:lang w:bidi="ar"/>
        </w:rPr>
        <w:t>.5评审委员会负责具体评审事务，并独立履行下列职责：</w:t>
      </w:r>
    </w:p>
    <w:p>
      <w:pPr>
        <w:spacing w:line="360" w:lineRule="auto"/>
        <w:rPr>
          <w:rFonts w:cs="仿宋"/>
          <w:highlight w:val="none"/>
        </w:rPr>
      </w:pPr>
      <w:r>
        <w:rPr>
          <w:rFonts w:hint="eastAsia" w:cs="仿宋"/>
          <w:kern w:val="2"/>
          <w:highlight w:val="none"/>
          <w:lang w:bidi="ar"/>
        </w:rPr>
        <w:t>　　（1）熟悉和理解竞争性谈判文件；</w:t>
      </w:r>
    </w:p>
    <w:p>
      <w:pPr>
        <w:spacing w:line="360" w:lineRule="auto"/>
        <w:rPr>
          <w:rFonts w:cs="仿宋"/>
          <w:highlight w:val="none"/>
        </w:rPr>
      </w:pPr>
      <w:r>
        <w:rPr>
          <w:rFonts w:hint="eastAsia" w:cs="仿宋"/>
          <w:kern w:val="2"/>
          <w:highlight w:val="none"/>
          <w:lang w:bidi="ar"/>
        </w:rPr>
        <w:t xml:space="preserve">    （2）审查、评价响应文件是否符合竞争性谈判文件的资格条件、商务、技术等实质性要求，并作出评价；</w:t>
      </w:r>
    </w:p>
    <w:p>
      <w:pPr>
        <w:spacing w:line="360" w:lineRule="auto"/>
        <w:rPr>
          <w:rFonts w:cs="仿宋"/>
          <w:highlight w:val="none"/>
        </w:rPr>
      </w:pPr>
      <w:r>
        <w:rPr>
          <w:rFonts w:hint="eastAsia" w:cs="仿宋"/>
          <w:kern w:val="2"/>
          <w:highlight w:val="none"/>
          <w:lang w:bidi="ar"/>
        </w:rPr>
        <w:t xml:space="preserve">    （3）根据需要要求供应商对响应文件有关事项作出解释或者澄清；根据需要要求采购人对响应文件有关事项作出解释或者澄清；</w:t>
      </w:r>
    </w:p>
    <w:p>
      <w:pPr>
        <w:spacing w:line="360" w:lineRule="auto"/>
        <w:rPr>
          <w:rFonts w:cs="仿宋"/>
          <w:highlight w:val="none"/>
        </w:rPr>
      </w:pPr>
      <w:r>
        <w:rPr>
          <w:rFonts w:hint="eastAsia" w:cs="仿宋"/>
          <w:kern w:val="2"/>
          <w:highlight w:val="none"/>
          <w:lang w:bidi="ar"/>
        </w:rPr>
        <w:t xml:space="preserve">    （4）推荐成交候选供应商名单，或者受采购人委托按照事先确定的办法直接确定成交供应商；</w:t>
      </w:r>
    </w:p>
    <w:p>
      <w:pPr>
        <w:spacing w:line="360" w:lineRule="auto"/>
        <w:rPr>
          <w:rFonts w:cs="仿宋"/>
          <w:highlight w:val="none"/>
        </w:rPr>
      </w:pPr>
      <w:r>
        <w:rPr>
          <w:rFonts w:hint="eastAsia" w:cs="仿宋"/>
          <w:kern w:val="2"/>
          <w:highlight w:val="none"/>
          <w:lang w:bidi="ar"/>
        </w:rPr>
        <w:t xml:space="preserve">    （5）起草谈判报告并进行签署；</w:t>
      </w:r>
    </w:p>
    <w:p>
      <w:pPr>
        <w:spacing w:line="360" w:lineRule="auto"/>
        <w:rPr>
          <w:rFonts w:cs="仿宋"/>
          <w:highlight w:val="none"/>
        </w:rPr>
      </w:pPr>
      <w:r>
        <w:rPr>
          <w:rFonts w:hint="eastAsia" w:cs="仿宋"/>
          <w:kern w:val="2"/>
          <w:highlight w:val="none"/>
          <w:lang w:bidi="ar"/>
        </w:rPr>
        <w:t xml:space="preserve">    （6）向采购人、采购代理机构或者其他监督部门报告非法干预评审工作的行为；</w:t>
      </w:r>
    </w:p>
    <w:p>
      <w:pPr>
        <w:spacing w:line="360" w:lineRule="auto"/>
        <w:rPr>
          <w:rFonts w:cs="仿宋"/>
          <w:highlight w:val="none"/>
        </w:rPr>
      </w:pPr>
      <w:r>
        <w:rPr>
          <w:rFonts w:hint="eastAsia" w:cs="仿宋"/>
          <w:kern w:val="2"/>
          <w:highlight w:val="none"/>
          <w:lang w:bidi="ar"/>
        </w:rPr>
        <w:t xml:space="preserve">    （7）法律、法规和规章规定的其他职责。</w:t>
      </w:r>
    </w:p>
    <w:p>
      <w:pPr>
        <w:widowControl w:val="0"/>
        <w:spacing w:line="360" w:lineRule="auto"/>
        <w:ind w:firstLine="480" w:firstLineChars="200"/>
        <w:jc w:val="both"/>
        <w:rPr>
          <w:rFonts w:cs="仿宋"/>
          <w:highlight w:val="none"/>
        </w:rPr>
      </w:pPr>
      <w:r>
        <w:rPr>
          <w:rFonts w:cs="仿宋"/>
          <w:kern w:val="2"/>
          <w:highlight w:val="none"/>
          <w:lang w:bidi="ar"/>
        </w:rPr>
        <w:t>2</w:t>
      </w:r>
      <w:r>
        <w:rPr>
          <w:rFonts w:hint="eastAsia" w:cs="仿宋"/>
          <w:kern w:val="2"/>
          <w:highlight w:val="none"/>
          <w:lang w:bidi="ar"/>
        </w:rPr>
        <w:t>.6评审过程独立、保密。供应商非法干预评审过程的行为将导致其响应文件作为无效处理。</w:t>
      </w:r>
    </w:p>
    <w:p>
      <w:pPr>
        <w:widowControl w:val="0"/>
        <w:spacing w:line="360" w:lineRule="auto"/>
        <w:ind w:firstLine="480" w:firstLineChars="200"/>
        <w:jc w:val="both"/>
        <w:rPr>
          <w:rFonts w:cs="仿宋"/>
          <w:highlight w:val="none"/>
        </w:rPr>
      </w:pPr>
      <w:r>
        <w:rPr>
          <w:rFonts w:cs="仿宋"/>
          <w:kern w:val="2"/>
          <w:highlight w:val="none"/>
          <w:lang w:bidi="ar"/>
        </w:rPr>
        <w:t>2</w:t>
      </w:r>
      <w:r>
        <w:rPr>
          <w:rFonts w:hint="eastAsia" w:cs="仿宋"/>
          <w:kern w:val="2"/>
          <w:highlight w:val="none"/>
          <w:lang w:bidi="ar"/>
        </w:rPr>
        <w:t>.7评审委员会评价响应文件的</w:t>
      </w:r>
      <w:r>
        <w:rPr>
          <w:rFonts w:hint="eastAsia"/>
          <w:highlight w:val="none"/>
        </w:rPr>
        <w:t>有效性、完整性和响应程度</w:t>
      </w:r>
      <w:r>
        <w:rPr>
          <w:rFonts w:hint="eastAsia" w:cs="仿宋"/>
          <w:kern w:val="2"/>
          <w:highlight w:val="none"/>
          <w:lang w:bidi="ar"/>
        </w:rPr>
        <w:t>，对于供应商而言，除评审委员会要求其澄清、说明或者更正而提供的资料外，仅依据响应文件本身的内容，不寻求其他外部证据。</w:t>
      </w:r>
    </w:p>
    <w:p>
      <w:pPr>
        <w:widowControl w:val="0"/>
        <w:spacing w:line="360" w:lineRule="auto"/>
        <w:ind w:firstLine="480" w:firstLineChars="200"/>
        <w:jc w:val="both"/>
        <w:rPr>
          <w:rFonts w:cs="仿宋"/>
          <w:highlight w:val="none"/>
        </w:rPr>
      </w:pPr>
      <w:r>
        <w:rPr>
          <w:rFonts w:cs="仿宋"/>
          <w:kern w:val="2"/>
          <w:highlight w:val="none"/>
          <w:lang w:bidi="ar"/>
        </w:rPr>
        <w:t>2</w:t>
      </w:r>
      <w:r>
        <w:rPr>
          <w:rFonts w:hint="eastAsia" w:cs="仿宋"/>
          <w:kern w:val="2"/>
          <w:highlight w:val="none"/>
          <w:lang w:bidi="ar"/>
        </w:rPr>
        <w:t>.8评审委员会发现竞争性谈判文件表述不明确或需要说明的事项，可提请采购人书面解释说明。发现竞争性谈判文件违反有关法律、法规和规章的，可以拒绝评审，并向采购人书面说明情况。</w:t>
      </w:r>
    </w:p>
    <w:p>
      <w:pPr>
        <w:pStyle w:val="4"/>
        <w:widowControl/>
        <w:spacing w:line="360" w:lineRule="auto"/>
        <w:ind w:firstLine="361" w:firstLineChars="150"/>
        <w:jc w:val="left"/>
        <w:rPr>
          <w:rFonts w:ascii="宋体" w:hAnsi="宋体" w:eastAsia="宋体" w:cs="仿宋"/>
          <w:sz w:val="24"/>
          <w:szCs w:val="24"/>
          <w:highlight w:val="none"/>
        </w:rPr>
      </w:pPr>
      <w:r>
        <w:rPr>
          <w:rFonts w:hint="eastAsia" w:ascii="宋体" w:hAnsi="宋体" w:eastAsia="宋体" w:cs="仿宋"/>
          <w:sz w:val="24"/>
          <w:szCs w:val="24"/>
          <w:highlight w:val="none"/>
        </w:rPr>
        <w:t>3.评审程序</w:t>
      </w:r>
    </w:p>
    <w:p>
      <w:pPr>
        <w:spacing w:line="360" w:lineRule="auto"/>
        <w:rPr>
          <w:bCs/>
          <w:color w:val="000000"/>
          <w:highlight w:val="none"/>
        </w:rPr>
      </w:pPr>
      <w:r>
        <w:rPr>
          <w:rFonts w:hint="eastAsia"/>
          <w:bCs/>
          <w:color w:val="000000"/>
          <w:highlight w:val="none"/>
        </w:rPr>
        <w:t>3.1熟悉和理解谈判文件和停止评审。</w:t>
      </w:r>
    </w:p>
    <w:p>
      <w:pPr>
        <w:spacing w:line="360" w:lineRule="auto"/>
        <w:rPr>
          <w:bCs/>
          <w:color w:val="000000"/>
          <w:highlight w:val="none"/>
        </w:rPr>
      </w:pPr>
      <w:r>
        <w:rPr>
          <w:rFonts w:hint="eastAsia"/>
          <w:bCs/>
          <w:color w:val="000000"/>
          <w:highlight w:val="none"/>
        </w:rPr>
        <w:t>3.1.1 谈判小组正式评审前，应当对谈判文件进行熟悉和理解，内容主要包括谈判文件中供应商资格条件要求、采购项目技术、服务和商务要求、评审方法和标准、以及采购合同主要条款等。</w:t>
      </w:r>
    </w:p>
    <w:p>
      <w:pPr>
        <w:spacing w:line="360" w:lineRule="auto"/>
        <w:rPr>
          <w:bCs/>
          <w:color w:val="000000"/>
          <w:highlight w:val="none"/>
        </w:rPr>
      </w:pPr>
      <w:r>
        <w:rPr>
          <w:rFonts w:hint="eastAsia"/>
          <w:bCs/>
          <w:color w:val="000000"/>
          <w:highlight w:val="none"/>
        </w:rPr>
        <w:t>3.1.2 本谈判文件有下列情形之一的，谈判小组应当停止评审：</w:t>
      </w:r>
    </w:p>
    <w:p>
      <w:pPr>
        <w:spacing w:line="360" w:lineRule="auto"/>
        <w:rPr>
          <w:bCs/>
          <w:color w:val="000000"/>
          <w:highlight w:val="none"/>
        </w:rPr>
      </w:pPr>
      <w:r>
        <w:rPr>
          <w:rFonts w:hint="eastAsia"/>
          <w:bCs/>
          <w:color w:val="000000"/>
          <w:highlight w:val="none"/>
        </w:rPr>
        <w:t>（1）谈判文件的规定存在歧义、重大缺陷的；</w:t>
      </w:r>
    </w:p>
    <w:p>
      <w:pPr>
        <w:spacing w:line="360" w:lineRule="auto"/>
        <w:rPr>
          <w:bCs/>
          <w:color w:val="000000"/>
          <w:highlight w:val="none"/>
        </w:rPr>
      </w:pPr>
      <w:r>
        <w:rPr>
          <w:rFonts w:hint="eastAsia"/>
          <w:bCs/>
          <w:color w:val="000000"/>
          <w:highlight w:val="none"/>
        </w:rPr>
        <w:t>（2）谈判文件明显以不合理条件对供应商实行差别待遇或者歧视待遇的；</w:t>
      </w:r>
    </w:p>
    <w:p>
      <w:pPr>
        <w:spacing w:line="360" w:lineRule="auto"/>
        <w:rPr>
          <w:bCs/>
          <w:color w:val="000000"/>
          <w:highlight w:val="none"/>
        </w:rPr>
      </w:pPr>
      <w:r>
        <w:rPr>
          <w:rFonts w:hint="eastAsia"/>
          <w:bCs/>
          <w:color w:val="000000"/>
          <w:highlight w:val="none"/>
        </w:rPr>
        <w:t>（3）谈判文件有违反国家其他有关强制性规定的情形。</w:t>
      </w:r>
    </w:p>
    <w:p>
      <w:pPr>
        <w:spacing w:line="360" w:lineRule="auto"/>
        <w:rPr>
          <w:bCs/>
          <w:color w:val="000000"/>
          <w:highlight w:val="none"/>
        </w:rPr>
      </w:pPr>
      <w:r>
        <w:rPr>
          <w:rFonts w:hint="eastAsia"/>
          <w:bCs/>
          <w:color w:val="000000"/>
          <w:highlight w:val="none"/>
        </w:rPr>
        <w:t>3.1.</w:t>
      </w:r>
      <w:r>
        <w:rPr>
          <w:bCs/>
          <w:color w:val="000000"/>
          <w:highlight w:val="none"/>
        </w:rPr>
        <w:t>3</w:t>
      </w:r>
      <w:r>
        <w:rPr>
          <w:rFonts w:hint="eastAsia"/>
          <w:bCs/>
          <w:color w:val="000000"/>
          <w:highlight w:val="none"/>
        </w:rPr>
        <w:t xml:space="preserve"> 出现本条3.1.2规定应当停止评审情形的，谈判小组应当向采购人书面说明情况。除本条规定的情形外，谈判小组不得以任何方式和理由停止评审。</w:t>
      </w:r>
    </w:p>
    <w:p>
      <w:pPr>
        <w:spacing w:line="360" w:lineRule="auto"/>
        <w:rPr>
          <w:bCs/>
          <w:highlight w:val="none"/>
        </w:rPr>
      </w:pPr>
      <w:r>
        <w:rPr>
          <w:rFonts w:hint="eastAsia"/>
          <w:bCs/>
          <w:highlight w:val="none"/>
        </w:rPr>
        <w:t>3.</w:t>
      </w:r>
      <w:r>
        <w:rPr>
          <w:bCs/>
          <w:highlight w:val="none"/>
        </w:rPr>
        <w:t>2</w:t>
      </w:r>
      <w:r>
        <w:rPr>
          <w:rFonts w:hint="eastAsia"/>
          <w:bCs/>
          <w:highlight w:val="none"/>
        </w:rPr>
        <w:t>通过资格性审查的供应商不足3家的，终止本次采购活动，并发布终止采购活动公告。</w:t>
      </w:r>
    </w:p>
    <w:p>
      <w:pPr>
        <w:spacing w:line="360" w:lineRule="auto"/>
        <w:rPr>
          <w:bCs/>
          <w:color w:val="000000"/>
          <w:highlight w:val="none"/>
        </w:rPr>
      </w:pPr>
      <w:r>
        <w:rPr>
          <w:rFonts w:hint="eastAsia"/>
          <w:bCs/>
          <w:color w:val="000000"/>
          <w:highlight w:val="none"/>
        </w:rPr>
        <w:t>3.</w:t>
      </w:r>
      <w:r>
        <w:rPr>
          <w:bCs/>
          <w:color w:val="000000"/>
          <w:highlight w:val="none"/>
        </w:rPr>
        <w:t>3</w:t>
      </w:r>
      <w:r>
        <w:rPr>
          <w:rFonts w:hint="eastAsia"/>
          <w:bCs/>
          <w:color w:val="000000"/>
          <w:highlight w:val="none"/>
        </w:rPr>
        <w:t xml:space="preserve"> 谈判</w:t>
      </w:r>
    </w:p>
    <w:p>
      <w:pPr>
        <w:spacing w:line="360" w:lineRule="auto"/>
        <w:rPr>
          <w:bCs/>
          <w:highlight w:val="none"/>
        </w:rPr>
      </w:pPr>
      <w:r>
        <w:rPr>
          <w:rFonts w:hint="eastAsia"/>
          <w:bCs/>
          <w:color w:val="000000"/>
          <w:highlight w:val="none"/>
        </w:rPr>
        <w:t>3.</w:t>
      </w:r>
      <w:r>
        <w:rPr>
          <w:bCs/>
          <w:color w:val="000000"/>
          <w:highlight w:val="none"/>
        </w:rPr>
        <w:t>3</w:t>
      </w:r>
      <w:r>
        <w:rPr>
          <w:rFonts w:hint="eastAsia"/>
          <w:bCs/>
          <w:color w:val="000000"/>
          <w:highlight w:val="none"/>
        </w:rPr>
        <w:t>.1</w:t>
      </w:r>
      <w:r>
        <w:rPr>
          <w:rFonts w:hint="eastAsia"/>
          <w:bCs/>
          <w:highlight w:val="none"/>
        </w:rPr>
        <w:t>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360" w:lineRule="auto"/>
        <w:rPr>
          <w:bCs/>
          <w:highlight w:val="none"/>
        </w:rPr>
      </w:pPr>
      <w:r>
        <w:rPr>
          <w:rFonts w:hint="eastAsia"/>
          <w:bCs/>
          <w:highlight w:val="none"/>
        </w:rPr>
        <w:t>3.</w:t>
      </w:r>
      <w:r>
        <w:rPr>
          <w:bCs/>
          <w:highlight w:val="none"/>
        </w:rPr>
        <w:t>3</w:t>
      </w:r>
      <w:r>
        <w:rPr>
          <w:rFonts w:hint="eastAsia"/>
          <w:bCs/>
          <w:highlight w:val="none"/>
        </w:rPr>
        <w:t>.2每轮谈判开始前，谈判小组应根据谈判文件的规定，并结合各供应商的响应文件拟定谈判内容。</w:t>
      </w:r>
    </w:p>
    <w:p>
      <w:pPr>
        <w:spacing w:line="360" w:lineRule="auto"/>
        <w:rPr>
          <w:bCs/>
          <w:highlight w:val="none"/>
        </w:rPr>
      </w:pPr>
      <w:r>
        <w:rPr>
          <w:rFonts w:hint="eastAsia"/>
          <w:bCs/>
          <w:highlight w:val="none"/>
        </w:rPr>
        <w:t>3.</w:t>
      </w:r>
      <w:r>
        <w:rPr>
          <w:bCs/>
          <w:highlight w:val="none"/>
        </w:rPr>
        <w:t>3</w:t>
      </w:r>
      <w:r>
        <w:rPr>
          <w:rFonts w:hint="eastAsia"/>
          <w:bCs/>
          <w:highlight w:val="none"/>
        </w:rPr>
        <w:t>.3在谈判过程中，谈判小组可以根据谈判文件和谈判情况实质性变动谈判文件的技术、服务要求以及合同草案条款，但不得变动谈判文件中的其他内容。实质性变动的内容，须经采购人代表书面确认。</w:t>
      </w:r>
    </w:p>
    <w:p>
      <w:pPr>
        <w:spacing w:line="360" w:lineRule="auto"/>
        <w:rPr>
          <w:bCs/>
          <w:highlight w:val="none"/>
        </w:rPr>
      </w:pPr>
      <w:r>
        <w:rPr>
          <w:rFonts w:hint="eastAsia"/>
          <w:bCs/>
          <w:highlight w:val="none"/>
        </w:rPr>
        <w:t>3.</w:t>
      </w:r>
      <w:r>
        <w:rPr>
          <w:bCs/>
          <w:highlight w:val="none"/>
        </w:rPr>
        <w:t>3</w:t>
      </w:r>
      <w:r>
        <w:rPr>
          <w:rFonts w:hint="eastAsia"/>
          <w:bCs/>
          <w:highlight w:val="none"/>
        </w:rPr>
        <w:t>.4对谈判文件作出的实质性变动是谈判文件的有效组成部分，谈判小组应当及时以书面形式同时通知所有参加谈判的供应商。</w:t>
      </w:r>
    </w:p>
    <w:p>
      <w:pPr>
        <w:spacing w:line="360" w:lineRule="auto"/>
        <w:rPr>
          <w:bCs/>
          <w:highlight w:val="none"/>
        </w:rPr>
      </w:pPr>
      <w:r>
        <w:rPr>
          <w:rFonts w:hint="eastAsia"/>
          <w:bCs/>
          <w:highlight w:val="none"/>
        </w:rPr>
        <w:t>3.</w:t>
      </w:r>
      <w:r>
        <w:rPr>
          <w:bCs/>
          <w:highlight w:val="none"/>
        </w:rPr>
        <w:t>3</w:t>
      </w:r>
      <w:r>
        <w:rPr>
          <w:rFonts w:hint="eastAsia"/>
          <w:bCs/>
          <w:highlight w:val="none"/>
        </w:rPr>
        <w:t>.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360" w:lineRule="auto"/>
        <w:rPr>
          <w:bCs/>
          <w:highlight w:val="none"/>
        </w:rPr>
      </w:pPr>
      <w:r>
        <w:rPr>
          <w:rFonts w:hint="eastAsia"/>
          <w:bCs/>
          <w:highlight w:val="none"/>
        </w:rPr>
        <w:t>3.</w:t>
      </w:r>
      <w:r>
        <w:rPr>
          <w:bCs/>
          <w:highlight w:val="none"/>
        </w:rPr>
        <w:t>3</w:t>
      </w:r>
      <w:r>
        <w:rPr>
          <w:rFonts w:hint="eastAsia"/>
          <w:bCs/>
          <w:highlight w:val="none"/>
        </w:rPr>
        <w:t>.6谈判过程中，谈判的任何一方不得透露与谈判有关的其他供应商的技术资料、价格和其他信息。</w:t>
      </w:r>
    </w:p>
    <w:p>
      <w:pPr>
        <w:spacing w:line="360" w:lineRule="auto"/>
        <w:rPr>
          <w:bCs/>
          <w:highlight w:val="none"/>
        </w:rPr>
      </w:pPr>
      <w:r>
        <w:rPr>
          <w:rFonts w:hint="eastAsia"/>
          <w:bCs/>
          <w:highlight w:val="none"/>
        </w:rPr>
        <w:t>3.</w:t>
      </w:r>
      <w:r>
        <w:rPr>
          <w:bCs/>
          <w:highlight w:val="none"/>
        </w:rPr>
        <w:t>3</w:t>
      </w:r>
      <w:r>
        <w:rPr>
          <w:rFonts w:hint="eastAsia"/>
          <w:bCs/>
          <w:highlight w:val="none"/>
        </w:rPr>
        <w:t>.7谈判过程中，谈判小组发现或者知晓供应商存在违法、违纪行为的，谈判小组应当将该供应商淘汰，不允许其提交最后报价。</w:t>
      </w:r>
    </w:p>
    <w:p>
      <w:pPr>
        <w:spacing w:line="360" w:lineRule="auto"/>
        <w:rPr>
          <w:bCs/>
          <w:highlight w:val="none"/>
        </w:rPr>
      </w:pPr>
      <w:r>
        <w:rPr>
          <w:rFonts w:hint="eastAsia"/>
          <w:bCs/>
          <w:color w:val="000000"/>
          <w:highlight w:val="none"/>
        </w:rPr>
        <w:t>3.</w:t>
      </w:r>
      <w:r>
        <w:rPr>
          <w:bCs/>
          <w:color w:val="000000"/>
          <w:highlight w:val="none"/>
        </w:rPr>
        <w:t>3</w:t>
      </w:r>
      <w:r>
        <w:rPr>
          <w:rFonts w:hint="eastAsia"/>
          <w:bCs/>
          <w:color w:val="000000"/>
          <w:highlight w:val="none"/>
        </w:rPr>
        <w:t>.8谈判完成后，谈判小组应出具谈判情况记录表，谈判情况记录表需包含谈判内容、谈判意见、实质性变动内容等。</w:t>
      </w:r>
      <w:r>
        <w:rPr>
          <w:rFonts w:hint="eastAsia"/>
          <w:bCs/>
          <w:highlight w:val="none"/>
        </w:rPr>
        <w:t xml:space="preserve">   </w:t>
      </w:r>
    </w:p>
    <w:p>
      <w:pPr>
        <w:spacing w:line="360" w:lineRule="auto"/>
        <w:rPr>
          <w:bCs/>
          <w:highlight w:val="none"/>
        </w:rPr>
      </w:pPr>
      <w:r>
        <w:rPr>
          <w:rFonts w:hint="eastAsia"/>
          <w:bCs/>
          <w:color w:val="000000"/>
          <w:highlight w:val="none"/>
        </w:rPr>
        <w:t>3.</w:t>
      </w:r>
      <w:r>
        <w:rPr>
          <w:bCs/>
          <w:color w:val="000000"/>
          <w:highlight w:val="none"/>
        </w:rPr>
        <w:t>4</w:t>
      </w:r>
      <w:r>
        <w:rPr>
          <w:rFonts w:hint="eastAsia"/>
          <w:bCs/>
          <w:highlight w:val="none"/>
        </w:rPr>
        <w:t>最后报价。</w:t>
      </w:r>
    </w:p>
    <w:p>
      <w:pPr>
        <w:spacing w:line="360" w:lineRule="auto"/>
        <w:rPr>
          <w:highlight w:val="none"/>
        </w:rPr>
      </w:pPr>
      <w:r>
        <w:rPr>
          <w:rFonts w:hint="eastAsia"/>
          <w:bCs/>
          <w:highlight w:val="none"/>
        </w:rPr>
        <w:t>3.</w:t>
      </w:r>
      <w:r>
        <w:rPr>
          <w:bCs/>
          <w:highlight w:val="none"/>
        </w:rPr>
        <w:t>4</w:t>
      </w:r>
      <w:r>
        <w:rPr>
          <w:rFonts w:hint="eastAsia"/>
          <w:bCs/>
          <w:highlight w:val="none"/>
        </w:rPr>
        <w:t>.1谈判文件能够详细列明采购标的的技术、服务要求的，谈判结束后，谈判小组应当要求所有实质性响应的供应商在规定时间内提交最后报价，提交最</w:t>
      </w:r>
      <w:r>
        <w:rPr>
          <w:rFonts w:hint="eastAsia"/>
          <w:highlight w:val="none"/>
        </w:rPr>
        <w:t>后报价的供应商不得少于3家。</w:t>
      </w:r>
    </w:p>
    <w:p>
      <w:pPr>
        <w:spacing w:line="360" w:lineRule="auto"/>
        <w:rPr>
          <w:color w:val="0000FF"/>
          <w:highlight w:val="none"/>
        </w:rPr>
      </w:pPr>
      <w:r>
        <w:rPr>
          <w:rFonts w:hint="eastAsia"/>
          <w:highlight w:val="none"/>
        </w:rPr>
        <w:t>3.</w:t>
      </w:r>
      <w:r>
        <w:rPr>
          <w:highlight w:val="none"/>
        </w:rPr>
        <w:t>4</w:t>
      </w:r>
      <w:r>
        <w:rPr>
          <w:rFonts w:hint="eastAsia"/>
          <w:highlight w:val="none"/>
        </w:rPr>
        <w:t>.2谈判结束后，谈判小组应当要求所有实质性响应的供应商在规定时间内提交最后报价。</w:t>
      </w:r>
      <w:r>
        <w:rPr>
          <w:rFonts w:hint="eastAsia"/>
          <w:highlight w:val="none"/>
        </w:rPr>
        <w:t>第一轮以报价函中的报价金额为准，</w:t>
      </w:r>
      <w:r>
        <w:rPr>
          <w:rFonts w:hint="eastAsia" w:ascii="仿宋" w:hAnsi="仿宋" w:eastAsia="仿宋"/>
          <w:color w:val="000000"/>
          <w:sz w:val="28"/>
          <w:szCs w:val="28"/>
          <w:highlight w:val="none"/>
        </w:rPr>
        <w:t>未超出本次采购最高限价的为有效报价，并以第一轮的最低有效报价作为第二轮限价，开展第二轮报价。</w:t>
      </w:r>
    </w:p>
    <w:p>
      <w:pPr>
        <w:spacing w:line="360" w:lineRule="auto"/>
        <w:rPr>
          <w:highlight w:val="none"/>
        </w:rPr>
      </w:pPr>
      <w:r>
        <w:rPr>
          <w:rFonts w:hint="eastAsia"/>
          <w:highlight w:val="none"/>
        </w:rPr>
        <w:t>3.</w:t>
      </w:r>
      <w:r>
        <w:rPr>
          <w:highlight w:val="none"/>
        </w:rPr>
        <w:t>4</w:t>
      </w:r>
      <w:r>
        <w:rPr>
          <w:rFonts w:hint="eastAsia"/>
          <w:highlight w:val="none"/>
        </w:rPr>
        <w:t>.3供应商最后报价应当由法定代表人/主要负责人/本人或其授权代表签字确认或加盖公章。最后报价是供应商响应文件的有效组成部分。</w:t>
      </w:r>
    </w:p>
    <w:p>
      <w:pPr>
        <w:spacing w:line="360" w:lineRule="auto"/>
        <w:rPr>
          <w:highlight w:val="none"/>
        </w:rPr>
      </w:pPr>
      <w:r>
        <w:rPr>
          <w:rFonts w:hint="eastAsia"/>
          <w:highlight w:val="none"/>
        </w:rPr>
        <w:t>3.</w:t>
      </w:r>
      <w:r>
        <w:rPr>
          <w:highlight w:val="none"/>
        </w:rPr>
        <w:t>4</w:t>
      </w:r>
      <w:r>
        <w:rPr>
          <w:rFonts w:hint="eastAsia"/>
          <w:highlight w:val="none"/>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rPr>
          <w:highlight w:val="none"/>
        </w:rPr>
      </w:pPr>
      <w:r>
        <w:rPr>
          <w:rFonts w:hint="eastAsia"/>
          <w:highlight w:val="none"/>
        </w:rPr>
        <w:t>3.</w:t>
      </w:r>
      <w:r>
        <w:rPr>
          <w:highlight w:val="none"/>
        </w:rPr>
        <w:t>5</w:t>
      </w:r>
      <w:r>
        <w:rPr>
          <w:rFonts w:hint="eastAsia"/>
          <w:highlight w:val="none"/>
        </w:rPr>
        <w:t xml:space="preserve"> 谈判小组进行综合评比。供应商最后报价结束后，谈判小组对参与报价的供应商进行综合评分。</w:t>
      </w:r>
    </w:p>
    <w:p>
      <w:pPr>
        <w:spacing w:line="360" w:lineRule="auto"/>
        <w:rPr>
          <w:highlight w:val="none"/>
        </w:rPr>
      </w:pPr>
      <w:r>
        <w:rPr>
          <w:rFonts w:hint="eastAsia"/>
          <w:highlight w:val="none"/>
        </w:rPr>
        <w:t>3.</w:t>
      </w:r>
      <w:r>
        <w:rPr>
          <w:highlight w:val="none"/>
        </w:rPr>
        <w:t>6</w:t>
      </w:r>
      <w:r>
        <w:rPr>
          <w:rFonts w:hint="eastAsia"/>
          <w:highlight w:val="none"/>
        </w:rPr>
        <w:t>推荐成交候选供应商。谈判小组复核后，应当按照供应商的得分由高到低顺序推荐</w:t>
      </w:r>
      <w:r>
        <w:rPr>
          <w:highlight w:val="none"/>
        </w:rPr>
        <w:t>3</w:t>
      </w:r>
      <w:r>
        <w:rPr>
          <w:rFonts w:hint="eastAsia"/>
          <w:highlight w:val="none"/>
        </w:rPr>
        <w:t>家以上成交候选供应商，并编写谈判报告。供应商得分相同的，按照最后报价由低到高的顺序推荐。评审得分且最后报价相同的，按照技术指标优劣顺序推荐。评审得分且最后报价且技术指标分项得分均相同的，成交候选供应商并列，由采购人和采购代理机构组织并列的成交候选供应商以抓阄方式确定成交供应商。</w:t>
      </w:r>
    </w:p>
    <w:p>
      <w:pPr>
        <w:spacing w:line="360" w:lineRule="auto"/>
        <w:rPr>
          <w:highlight w:val="none"/>
        </w:rPr>
      </w:pPr>
      <w:r>
        <w:rPr>
          <w:rFonts w:hint="eastAsia"/>
          <w:highlight w:val="none"/>
        </w:rPr>
        <w:t>3.</w:t>
      </w:r>
      <w:r>
        <w:rPr>
          <w:highlight w:val="none"/>
        </w:rPr>
        <w:t>7</w:t>
      </w:r>
      <w:r>
        <w:rPr>
          <w:rFonts w:hint="eastAsia"/>
          <w:highlight w:val="none"/>
        </w:rPr>
        <w:t xml:space="preserve"> 复核评审结果。</w:t>
      </w:r>
    </w:p>
    <w:p>
      <w:pPr>
        <w:spacing w:line="360" w:lineRule="auto"/>
        <w:rPr>
          <w:highlight w:val="none"/>
        </w:rPr>
      </w:pPr>
      <w:r>
        <w:rPr>
          <w:rFonts w:hint="eastAsia"/>
          <w:highlight w:val="none"/>
        </w:rPr>
        <w:t>3.</w:t>
      </w:r>
      <w:r>
        <w:rPr>
          <w:highlight w:val="none"/>
        </w:rPr>
        <w:t>7</w:t>
      </w:r>
      <w:r>
        <w:rPr>
          <w:rFonts w:hint="eastAsia"/>
          <w:highlight w:val="none"/>
        </w:rPr>
        <w:t>.1谈判小组拟出具评标报告前，谈判小组或招标采购单位进行复核。存在下列情形之一的，采购单位根据情况可以建议谈判小组现场修改评标结果或者重新评标：</w:t>
      </w:r>
    </w:p>
    <w:p>
      <w:pPr>
        <w:spacing w:line="360" w:lineRule="auto"/>
        <w:rPr>
          <w:highlight w:val="none"/>
        </w:rPr>
      </w:pPr>
      <w:r>
        <w:rPr>
          <w:rFonts w:hint="eastAsia"/>
          <w:highlight w:val="none"/>
        </w:rPr>
        <w:t>（一）资格性审查认定错误的；</w:t>
      </w:r>
    </w:p>
    <w:p>
      <w:pPr>
        <w:spacing w:line="360" w:lineRule="auto"/>
        <w:rPr>
          <w:highlight w:val="none"/>
        </w:rPr>
      </w:pPr>
      <w:r>
        <w:rPr>
          <w:rFonts w:hint="eastAsia"/>
          <w:highlight w:val="none"/>
        </w:rPr>
        <w:t>（二）分值汇总计算错误的；</w:t>
      </w:r>
    </w:p>
    <w:p>
      <w:pPr>
        <w:spacing w:line="360" w:lineRule="auto"/>
        <w:rPr>
          <w:highlight w:val="none"/>
        </w:rPr>
      </w:pPr>
      <w:r>
        <w:rPr>
          <w:rFonts w:hint="eastAsia"/>
          <w:highlight w:val="none"/>
        </w:rPr>
        <w:t>（三）分项评分超出评分标准范围的；</w:t>
      </w:r>
    </w:p>
    <w:p>
      <w:pPr>
        <w:spacing w:line="360" w:lineRule="auto"/>
        <w:rPr>
          <w:highlight w:val="none"/>
        </w:rPr>
      </w:pPr>
      <w:r>
        <w:rPr>
          <w:rFonts w:hint="eastAsia"/>
          <w:highlight w:val="none"/>
        </w:rPr>
        <w:t>（四）客观评分不一致的。</w:t>
      </w:r>
    </w:p>
    <w:p>
      <w:pPr>
        <w:spacing w:line="360" w:lineRule="auto"/>
        <w:rPr>
          <w:highlight w:val="none"/>
        </w:rPr>
      </w:pPr>
      <w:r>
        <w:rPr>
          <w:rFonts w:hint="eastAsia"/>
          <w:highlight w:val="none"/>
        </w:rPr>
        <w:t>存在本条上述规定情形的，由谈判小组自主决定是否采纳招标采购单位的建议，并承担独立评审责任。谈判小组采纳采购单位建议的，应当按照规定现场修改评标结果或者重新评标；不采纳招标采购单位建议的，应当说明理由。</w:t>
      </w:r>
    </w:p>
    <w:p>
      <w:pPr>
        <w:spacing w:line="360" w:lineRule="auto"/>
        <w:rPr>
          <w:highlight w:val="none"/>
        </w:rPr>
      </w:pPr>
      <w:r>
        <w:rPr>
          <w:rFonts w:hint="eastAsia"/>
          <w:highlight w:val="none"/>
        </w:rPr>
        <w:t>3.</w:t>
      </w:r>
      <w:r>
        <w:rPr>
          <w:highlight w:val="none"/>
        </w:rPr>
        <w:t>8</w:t>
      </w:r>
      <w:r>
        <w:rPr>
          <w:rFonts w:hint="eastAsia"/>
          <w:highlight w:val="none"/>
        </w:rPr>
        <w:t>编写谈判报告。谈判小组推荐成交候选供应商后，应向采购人/采购代理机构出具谈判报告。谈判报告应当包括以下主要内容：</w:t>
      </w:r>
    </w:p>
    <w:p>
      <w:pPr>
        <w:spacing w:line="360" w:lineRule="auto"/>
        <w:rPr>
          <w:highlight w:val="none"/>
        </w:rPr>
      </w:pPr>
      <w:r>
        <w:rPr>
          <w:rFonts w:hint="eastAsia"/>
          <w:highlight w:val="none"/>
        </w:rPr>
        <w:t>（1）邀请供应商参加采购活动的具体方式和相关情况，以及参加采购活动的供应商名单；</w:t>
      </w:r>
    </w:p>
    <w:p>
      <w:pPr>
        <w:spacing w:line="360" w:lineRule="auto"/>
        <w:rPr>
          <w:color w:val="FF0000"/>
          <w:highlight w:val="none"/>
        </w:rPr>
      </w:pPr>
      <w:r>
        <w:rPr>
          <w:rFonts w:hint="eastAsia"/>
          <w:highlight w:val="none"/>
        </w:rPr>
        <w:t>（2）评审日期和地点，谈判小组成员名单；</w:t>
      </w:r>
    </w:p>
    <w:p>
      <w:pPr>
        <w:spacing w:line="360" w:lineRule="auto"/>
        <w:rPr>
          <w:highlight w:val="none"/>
        </w:rPr>
      </w:pPr>
      <w:r>
        <w:rPr>
          <w:rFonts w:hint="eastAsia"/>
          <w:highlight w:val="none"/>
        </w:rPr>
        <w:t>（3）评审情况记录和说明，包括对供应商的资格审查情况、供应商响应文件审查情况、谈判情况、报价情况等；</w:t>
      </w:r>
    </w:p>
    <w:p>
      <w:pPr>
        <w:spacing w:line="360" w:lineRule="auto"/>
        <w:rPr>
          <w:highlight w:val="none"/>
        </w:rPr>
      </w:pPr>
      <w:r>
        <w:rPr>
          <w:rFonts w:hint="eastAsia"/>
          <w:highlight w:val="none"/>
        </w:rPr>
        <w:t>（4）推荐的成交候选人的名单及理由。</w:t>
      </w:r>
    </w:p>
    <w:p>
      <w:pPr>
        <w:spacing w:line="360" w:lineRule="auto"/>
        <w:rPr>
          <w:highlight w:val="none"/>
        </w:rPr>
      </w:pPr>
      <w:r>
        <w:rPr>
          <w:rFonts w:hint="eastAsia"/>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rPr>
          <w:highlight w:val="none"/>
        </w:rPr>
      </w:pPr>
      <w:r>
        <w:rPr>
          <w:rFonts w:hint="eastAsia"/>
          <w:highlight w:val="none"/>
        </w:rPr>
        <w:t>3.</w:t>
      </w:r>
      <w:r>
        <w:rPr>
          <w:highlight w:val="none"/>
        </w:rPr>
        <w:t>9</w:t>
      </w:r>
      <w:r>
        <w:rPr>
          <w:rFonts w:hint="eastAsia"/>
          <w:highlight w:val="none"/>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rPr>
          <w:highlight w:val="none"/>
        </w:rPr>
      </w:pPr>
      <w:r>
        <w:rPr>
          <w:rFonts w:hint="eastAsia"/>
          <w:highlight w:val="none"/>
        </w:rPr>
        <w:t>3.1</w:t>
      </w:r>
      <w:r>
        <w:rPr>
          <w:highlight w:val="none"/>
        </w:rPr>
        <w:t>0</w:t>
      </w:r>
      <w:r>
        <w:rPr>
          <w:rFonts w:hint="eastAsia"/>
          <w:highlight w:val="none"/>
        </w:rPr>
        <w:t>供应商澄清、说明</w:t>
      </w:r>
    </w:p>
    <w:p>
      <w:pPr>
        <w:spacing w:line="360" w:lineRule="auto"/>
        <w:rPr>
          <w:highlight w:val="none"/>
        </w:rPr>
      </w:pPr>
      <w:r>
        <w:rPr>
          <w:rFonts w:hint="eastAsia"/>
          <w:highlight w:val="none"/>
        </w:rPr>
        <w:t>3.1</w:t>
      </w:r>
      <w:r>
        <w:rPr>
          <w:highlight w:val="none"/>
        </w:rPr>
        <w:t>0</w:t>
      </w:r>
      <w:r>
        <w:rPr>
          <w:rFonts w:hint="eastAsia"/>
          <w:highlight w:val="none"/>
        </w:rPr>
        <w:t>.1谈判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highlight w:val="none"/>
        </w:rPr>
      </w:pPr>
      <w:r>
        <w:rPr>
          <w:rFonts w:hint="eastAsia"/>
          <w:highlight w:val="none"/>
        </w:rPr>
        <w:t>3.1</w:t>
      </w:r>
      <w:r>
        <w:rPr>
          <w:highlight w:val="none"/>
        </w:rPr>
        <w:t>0</w:t>
      </w:r>
      <w:r>
        <w:rPr>
          <w:rFonts w:hint="eastAsia"/>
          <w:highlight w:val="none"/>
        </w:rPr>
        <w:t>.2谈判小组要求供应商澄清、说明或者更正响应文件应当以书面形式作出。供应商的澄清、说明或者更正应当由法定代表人/主要负责人/本人或其授权代表签字或者加盖公章。</w:t>
      </w:r>
    </w:p>
    <w:p>
      <w:pPr>
        <w:spacing w:line="360" w:lineRule="auto"/>
        <w:rPr>
          <w:highlight w:val="none"/>
        </w:rPr>
      </w:pPr>
      <w:r>
        <w:rPr>
          <w:rFonts w:hint="eastAsia"/>
          <w:highlight w:val="none"/>
        </w:rPr>
        <w:t>3.1</w:t>
      </w:r>
      <w:r>
        <w:rPr>
          <w:highlight w:val="none"/>
        </w:rPr>
        <w:t>1</w:t>
      </w:r>
      <w:r>
        <w:rPr>
          <w:rFonts w:hint="eastAsia"/>
          <w:highlight w:val="none"/>
        </w:rPr>
        <w:t>终止谈判采购活动。</w:t>
      </w:r>
    </w:p>
    <w:p>
      <w:pPr>
        <w:spacing w:line="360" w:lineRule="auto"/>
        <w:rPr>
          <w:highlight w:val="none"/>
        </w:rPr>
      </w:pPr>
      <w:r>
        <w:rPr>
          <w:rFonts w:hint="eastAsia"/>
          <w:highlight w:val="none"/>
        </w:rPr>
        <w:t>出现下列情形之一的，采购人或者采购代理机构应当终止竞争性谈判采购活动，发布项目终止公告并说明原因，重新开展采购活动：</w:t>
      </w:r>
    </w:p>
    <w:p>
      <w:pPr>
        <w:spacing w:line="360" w:lineRule="auto"/>
        <w:rPr>
          <w:highlight w:val="none"/>
        </w:rPr>
      </w:pPr>
      <w:r>
        <w:rPr>
          <w:rFonts w:hint="eastAsia"/>
          <w:highlight w:val="none"/>
        </w:rPr>
        <w:t>（1）因情况变化，不再符合规定的竞争性谈判采购方式适用情形的；</w:t>
      </w:r>
    </w:p>
    <w:p>
      <w:pPr>
        <w:spacing w:line="360" w:lineRule="auto"/>
        <w:rPr>
          <w:highlight w:val="none"/>
        </w:rPr>
      </w:pPr>
      <w:r>
        <w:rPr>
          <w:rFonts w:hint="eastAsia"/>
          <w:highlight w:val="none"/>
        </w:rPr>
        <w:t>（2）出现影响采购公正的违法、违规行为的；</w:t>
      </w:r>
    </w:p>
    <w:p>
      <w:pPr>
        <w:spacing w:line="360" w:lineRule="auto"/>
        <w:rPr>
          <w:highlight w:val="none"/>
        </w:rPr>
      </w:pPr>
      <w:r>
        <w:rPr>
          <w:rFonts w:hint="eastAsia"/>
          <w:highlight w:val="none"/>
        </w:rPr>
        <w:t>（3）在采购过程中符合要求的供应商或者报价未超过采购预算的供应商不足3家的。</w:t>
      </w:r>
    </w:p>
    <w:p>
      <w:pPr>
        <w:pStyle w:val="4"/>
        <w:widowControl/>
        <w:spacing w:line="360" w:lineRule="auto"/>
        <w:ind w:firstLine="361" w:firstLineChars="150"/>
        <w:jc w:val="left"/>
        <w:rPr>
          <w:rFonts w:ascii="宋体" w:hAnsi="宋体" w:eastAsia="宋体" w:cs="仿宋"/>
          <w:sz w:val="24"/>
          <w:szCs w:val="24"/>
          <w:highlight w:val="none"/>
        </w:rPr>
      </w:pPr>
      <w:r>
        <w:rPr>
          <w:rFonts w:hint="eastAsia" w:ascii="宋体" w:hAnsi="宋体" w:eastAsia="宋体" w:cs="仿宋"/>
          <w:sz w:val="24"/>
          <w:szCs w:val="24"/>
          <w:highlight w:val="none"/>
        </w:rPr>
        <w:t>4．谈判纪律及注意事项</w:t>
      </w:r>
    </w:p>
    <w:p>
      <w:pPr>
        <w:spacing w:line="360" w:lineRule="auto"/>
        <w:rPr>
          <w:color w:val="000000"/>
          <w:highlight w:val="none"/>
        </w:rPr>
      </w:pPr>
      <w:r>
        <w:rPr>
          <w:rFonts w:hint="eastAsia"/>
          <w:color w:val="000000"/>
          <w:highlight w:val="none"/>
        </w:rPr>
        <w:t>4.1谈判小组内部讨论的情况和意见必须保密，任何人不得以任何形式透露给供应商或与供应商有关的单位或个人。</w:t>
      </w:r>
    </w:p>
    <w:p>
      <w:pPr>
        <w:spacing w:line="360" w:lineRule="auto"/>
        <w:rPr>
          <w:color w:val="000000"/>
          <w:highlight w:val="none"/>
        </w:rPr>
      </w:pPr>
      <w:r>
        <w:rPr>
          <w:rFonts w:hint="eastAsia"/>
          <w:color w:val="000000"/>
          <w:highlight w:val="none"/>
        </w:rPr>
        <w:t>4.2在谈判过程中，供应商不得以任何形式对谈判小组成员进行旨在影响谈判结果的私下接触，否则将取消其参与谈判的资格。</w:t>
      </w:r>
    </w:p>
    <w:p>
      <w:pPr>
        <w:spacing w:line="360" w:lineRule="auto"/>
        <w:rPr>
          <w:color w:val="000000"/>
          <w:highlight w:val="none"/>
        </w:rPr>
      </w:pPr>
      <w:r>
        <w:rPr>
          <w:rFonts w:hint="eastAsia"/>
          <w:color w:val="000000"/>
          <w:highlight w:val="none"/>
        </w:rPr>
        <w:t>4.3</w:t>
      </w:r>
      <w:r>
        <w:rPr>
          <w:rFonts w:hint="eastAsia"/>
          <w:highlight w:val="none"/>
        </w:rPr>
        <w:t>对各供应商的商业秘密，谈判小组成员应予以保密，不得泄露给其他供应商。</w:t>
      </w:r>
    </w:p>
    <w:p>
      <w:pPr>
        <w:spacing w:line="360" w:lineRule="auto"/>
        <w:rPr>
          <w:color w:val="000000"/>
          <w:highlight w:val="none"/>
        </w:rPr>
      </w:pPr>
      <w:r>
        <w:rPr>
          <w:rFonts w:hint="eastAsia"/>
          <w:color w:val="000000"/>
          <w:highlight w:val="none"/>
        </w:rPr>
        <w:t>4.4谈判小组独立评判，推荐成交候选人，并写出书面报告。</w:t>
      </w:r>
    </w:p>
    <w:p>
      <w:pPr>
        <w:spacing w:line="360" w:lineRule="auto"/>
        <w:rPr>
          <w:color w:val="000000"/>
          <w:highlight w:val="none"/>
        </w:rPr>
      </w:pPr>
      <w:r>
        <w:rPr>
          <w:rFonts w:hint="eastAsia"/>
          <w:color w:val="000000"/>
          <w:highlight w:val="none"/>
        </w:rPr>
        <w:t>4.5谈判小组可根据需要对供应商进行实地考察。</w:t>
      </w:r>
    </w:p>
    <w:p>
      <w:pPr>
        <w:pStyle w:val="4"/>
        <w:widowControl/>
        <w:spacing w:line="360" w:lineRule="auto"/>
        <w:ind w:firstLine="361" w:firstLineChars="150"/>
        <w:jc w:val="left"/>
        <w:rPr>
          <w:rFonts w:ascii="宋体" w:hAnsi="宋体" w:eastAsia="宋体" w:cs="仿宋"/>
          <w:sz w:val="24"/>
          <w:szCs w:val="24"/>
          <w:highlight w:val="none"/>
        </w:rPr>
      </w:pPr>
      <w:r>
        <w:rPr>
          <w:rFonts w:hint="eastAsia" w:ascii="宋体" w:hAnsi="宋体" w:eastAsia="宋体" w:cs="仿宋"/>
          <w:sz w:val="24"/>
          <w:szCs w:val="24"/>
          <w:highlight w:val="none"/>
        </w:rPr>
        <w:t>5.确定成交供应商</w:t>
      </w:r>
    </w:p>
    <w:p>
      <w:pPr>
        <w:spacing w:line="360" w:lineRule="auto"/>
        <w:rPr>
          <w:color w:val="000000"/>
          <w:highlight w:val="none"/>
        </w:rPr>
      </w:pPr>
      <w:r>
        <w:rPr>
          <w:rFonts w:hint="eastAsia"/>
          <w:color w:val="000000"/>
          <w:highlight w:val="none"/>
        </w:rPr>
        <w:t>5.1 采购代理机构应当在评审结束后2个工作日内将评审报告送采购人；</w:t>
      </w:r>
    </w:p>
    <w:p>
      <w:pPr>
        <w:spacing w:line="360" w:lineRule="auto"/>
        <w:rPr>
          <w:color w:val="000000"/>
          <w:highlight w:val="none"/>
        </w:rPr>
      </w:pPr>
      <w:r>
        <w:rPr>
          <w:rFonts w:hint="eastAsia"/>
          <w:color w:val="000000"/>
          <w:highlight w:val="none"/>
        </w:rPr>
        <w:t>5.2 采购人应当在收到评审报告后，从评审报告提出的成交候选人中，根据质量和服务均能满足</w:t>
      </w:r>
      <w:r>
        <w:rPr>
          <w:rFonts w:hint="eastAsia"/>
          <w:bCs/>
          <w:color w:val="000000"/>
          <w:highlight w:val="none"/>
        </w:rPr>
        <w:t>谈判</w:t>
      </w:r>
      <w:r>
        <w:rPr>
          <w:rFonts w:hint="eastAsia"/>
          <w:color w:val="000000"/>
          <w:highlight w:val="none"/>
        </w:rPr>
        <w:t>文件实质性响应要求的原则确定成交供应商。</w:t>
      </w:r>
    </w:p>
    <w:p>
      <w:pPr>
        <w:pStyle w:val="4"/>
        <w:widowControl/>
        <w:spacing w:line="360" w:lineRule="auto"/>
        <w:ind w:firstLine="361" w:firstLineChars="150"/>
        <w:jc w:val="left"/>
        <w:rPr>
          <w:rFonts w:ascii="宋体" w:hAnsi="宋体" w:eastAsia="宋体" w:cs="仿宋"/>
          <w:sz w:val="24"/>
          <w:szCs w:val="24"/>
          <w:highlight w:val="none"/>
        </w:rPr>
      </w:pPr>
      <w:r>
        <w:rPr>
          <w:rFonts w:hint="eastAsia" w:ascii="宋体" w:hAnsi="宋体" w:eastAsia="宋体" w:cs="仿宋"/>
          <w:sz w:val="24"/>
          <w:szCs w:val="24"/>
          <w:highlight w:val="none"/>
        </w:rPr>
        <w:t>6.成交通知书</w:t>
      </w:r>
    </w:p>
    <w:p>
      <w:pPr>
        <w:spacing w:line="360" w:lineRule="auto"/>
        <w:rPr>
          <w:color w:val="000000"/>
          <w:highlight w:val="none"/>
        </w:rPr>
      </w:pPr>
      <w:r>
        <w:rPr>
          <w:rFonts w:hint="eastAsia"/>
          <w:color w:val="000000"/>
          <w:highlight w:val="none"/>
        </w:rPr>
        <w:t>6.1 成交通知书为签订 采购合同的依据之一，是合同的有效组成部分。</w:t>
      </w:r>
    </w:p>
    <w:p>
      <w:pPr>
        <w:spacing w:line="360" w:lineRule="auto"/>
        <w:rPr>
          <w:color w:val="000000"/>
          <w:highlight w:val="none"/>
        </w:rPr>
      </w:pPr>
      <w:r>
        <w:rPr>
          <w:rFonts w:hint="eastAsia"/>
          <w:color w:val="000000"/>
          <w:highlight w:val="none"/>
        </w:rPr>
        <w:t>6.2 采购人按符合采购需求的合格供应商确定成交供应商，确定成交供应商后2个工作日内，采购代理机构在“西南联合产权交易所电子招采平台网站（https://www.swuee.com/#/purchase/index）”上公示成交结果，由采购代理机构按照相关法律法规向成交供应商发出成交通知书。</w:t>
      </w:r>
    </w:p>
    <w:p>
      <w:pPr>
        <w:spacing w:line="360" w:lineRule="auto"/>
        <w:rPr>
          <w:color w:val="000000"/>
          <w:highlight w:val="none"/>
        </w:rPr>
      </w:pPr>
      <w:r>
        <w:rPr>
          <w:rFonts w:hint="eastAsia"/>
          <w:color w:val="000000"/>
          <w:highlight w:val="none"/>
        </w:rPr>
        <w:t>6</w:t>
      </w:r>
      <w:r>
        <w:rPr>
          <w:color w:val="000000"/>
          <w:highlight w:val="none"/>
        </w:rPr>
        <w:t>.</w:t>
      </w:r>
      <w:r>
        <w:rPr>
          <w:rFonts w:hint="eastAsia"/>
          <w:color w:val="000000"/>
          <w:highlight w:val="none"/>
        </w:rPr>
        <w:t>3 成交通知书将作为签订合同的依据。成交通知书对采购人和成交供应商均具有法律效力。成交通知书发出后，采购人改变成交结果或成交供应商无正当理由放弃成交项目的，应当依法承担相关责任。</w:t>
      </w:r>
    </w:p>
    <w:p>
      <w:pPr>
        <w:spacing w:line="360" w:lineRule="auto"/>
        <w:rPr>
          <w:color w:val="000000"/>
          <w:highlight w:val="none"/>
        </w:rPr>
      </w:pPr>
      <w:r>
        <w:rPr>
          <w:rFonts w:hint="eastAsia"/>
          <w:color w:val="000000"/>
          <w:highlight w:val="none"/>
        </w:rPr>
        <w:t>6</w:t>
      </w:r>
      <w:r>
        <w:rPr>
          <w:color w:val="000000"/>
          <w:highlight w:val="none"/>
        </w:rPr>
        <w:t>.</w:t>
      </w:r>
      <w:r>
        <w:rPr>
          <w:rFonts w:hint="eastAsia"/>
          <w:color w:val="000000"/>
          <w:highlight w:val="none"/>
        </w:rPr>
        <w:t>4 采购人和采购代理机构不对成交或未成交原因作出解释，也不退还响应</w:t>
      </w:r>
    </w:p>
    <w:p>
      <w:pPr>
        <w:spacing w:line="360" w:lineRule="auto"/>
        <w:rPr>
          <w:color w:val="000000"/>
          <w:highlight w:val="none"/>
        </w:rPr>
      </w:pPr>
      <w:r>
        <w:rPr>
          <w:rFonts w:hint="eastAsia"/>
          <w:color w:val="000000"/>
          <w:highlight w:val="none"/>
        </w:rPr>
        <w:t>文件。</w:t>
      </w:r>
    </w:p>
    <w:p>
      <w:pPr>
        <w:pStyle w:val="4"/>
        <w:widowControl/>
        <w:spacing w:line="360" w:lineRule="auto"/>
        <w:ind w:firstLine="361" w:firstLineChars="150"/>
        <w:jc w:val="left"/>
        <w:rPr>
          <w:rFonts w:ascii="宋体" w:hAnsi="宋体" w:eastAsia="宋体" w:cs="仿宋"/>
          <w:sz w:val="24"/>
          <w:szCs w:val="24"/>
          <w:highlight w:val="none"/>
        </w:rPr>
      </w:pPr>
      <w:r>
        <w:rPr>
          <w:rFonts w:hint="eastAsia" w:ascii="宋体" w:hAnsi="宋体" w:eastAsia="宋体" w:cs="仿宋"/>
          <w:sz w:val="24"/>
          <w:szCs w:val="24"/>
          <w:highlight w:val="none"/>
        </w:rPr>
        <w:t>7.谈判小组在 采购活动中承担以下义务：</w:t>
      </w:r>
    </w:p>
    <w:p>
      <w:pPr>
        <w:spacing w:line="360" w:lineRule="auto"/>
        <w:rPr>
          <w:color w:val="000000"/>
          <w:highlight w:val="none"/>
        </w:rPr>
      </w:pPr>
      <w:r>
        <w:rPr>
          <w:rFonts w:hint="eastAsia"/>
          <w:color w:val="000000"/>
          <w:highlight w:val="none"/>
        </w:rPr>
        <w:t>（一）遵守评审工作纪律；</w:t>
      </w:r>
    </w:p>
    <w:p>
      <w:pPr>
        <w:spacing w:line="360" w:lineRule="auto"/>
        <w:rPr>
          <w:color w:val="000000"/>
          <w:highlight w:val="none"/>
        </w:rPr>
      </w:pPr>
      <w:r>
        <w:rPr>
          <w:rFonts w:hint="eastAsia"/>
          <w:color w:val="000000"/>
          <w:highlight w:val="none"/>
        </w:rPr>
        <w:t>（二）按照客观、公正、审慎的原则，根据谈判文件规定的评审程序、评审方法和评审标准进行独立评审；</w:t>
      </w:r>
    </w:p>
    <w:p>
      <w:pPr>
        <w:spacing w:line="360" w:lineRule="auto"/>
        <w:rPr>
          <w:color w:val="000000"/>
          <w:highlight w:val="none"/>
        </w:rPr>
      </w:pPr>
      <w:r>
        <w:rPr>
          <w:rFonts w:hint="eastAsia"/>
          <w:color w:val="000000"/>
          <w:highlight w:val="none"/>
        </w:rPr>
        <w:t>（三）不得泄露评审文件、评审情况和在评审过程中获悉的商业秘密；</w:t>
      </w:r>
    </w:p>
    <w:p>
      <w:pPr>
        <w:spacing w:line="360" w:lineRule="auto"/>
        <w:rPr>
          <w:color w:val="000000"/>
          <w:highlight w:val="none"/>
        </w:rPr>
      </w:pPr>
      <w:r>
        <w:rPr>
          <w:rFonts w:hint="eastAsia"/>
          <w:color w:val="000000"/>
          <w:highlight w:val="none"/>
        </w:rPr>
        <w:t>（四）及时向监察部门报告评审过程中发现的采购人、采购代理机构向评审专家做倾向性、误导性的解释或者说明，以及供应商行贿、提供虚假材料或者串通等违法行为；</w:t>
      </w:r>
    </w:p>
    <w:p>
      <w:pPr>
        <w:spacing w:line="360" w:lineRule="auto"/>
        <w:rPr>
          <w:color w:val="000000"/>
          <w:highlight w:val="none"/>
        </w:rPr>
      </w:pPr>
      <w:r>
        <w:rPr>
          <w:rFonts w:hint="eastAsia"/>
          <w:color w:val="000000"/>
          <w:highlight w:val="none"/>
        </w:rPr>
        <w:t>（五）发现谈判文件内容违反国家有关强制性规定或者谈判文件存在歧义、重大缺陷导致评审工作无法进行时，停止评审并向采购人或者采购代理机构书面说明情况；</w:t>
      </w:r>
    </w:p>
    <w:p>
      <w:pPr>
        <w:spacing w:line="360" w:lineRule="auto"/>
        <w:rPr>
          <w:color w:val="000000"/>
          <w:highlight w:val="none"/>
        </w:rPr>
      </w:pPr>
      <w:r>
        <w:rPr>
          <w:rFonts w:hint="eastAsia"/>
          <w:color w:val="000000"/>
          <w:highlight w:val="none"/>
        </w:rPr>
        <w:t>（六）及时向监察等部门举报在评审过程中受到非法干预</w:t>
      </w:r>
      <w:r>
        <w:rPr>
          <w:rFonts w:hint="eastAsia"/>
          <w:highlight w:val="none"/>
        </w:rPr>
        <w:t>的</w:t>
      </w:r>
      <w:r>
        <w:rPr>
          <w:rFonts w:hint="eastAsia"/>
          <w:color w:val="000000"/>
          <w:highlight w:val="none"/>
        </w:rPr>
        <w:t>情况；</w:t>
      </w:r>
    </w:p>
    <w:p>
      <w:pPr>
        <w:spacing w:line="360" w:lineRule="auto"/>
        <w:rPr>
          <w:color w:val="000000"/>
          <w:highlight w:val="none"/>
        </w:rPr>
      </w:pPr>
      <w:r>
        <w:rPr>
          <w:rFonts w:hint="eastAsia"/>
          <w:color w:val="000000"/>
          <w:highlight w:val="none"/>
        </w:rPr>
        <w:t>（七）配合答复处理供应商的询问、质疑和投诉等事项；</w:t>
      </w:r>
    </w:p>
    <w:p>
      <w:pPr>
        <w:spacing w:line="360" w:lineRule="auto"/>
        <w:rPr>
          <w:color w:val="000000"/>
          <w:highlight w:val="none"/>
        </w:rPr>
      </w:pPr>
      <w:r>
        <w:rPr>
          <w:rFonts w:hint="eastAsia"/>
          <w:color w:val="000000"/>
          <w:highlight w:val="none"/>
        </w:rPr>
        <w:t>（八）法律、法规和规章规定的其他义务。</w:t>
      </w:r>
    </w:p>
    <w:p>
      <w:pPr>
        <w:pStyle w:val="4"/>
        <w:widowControl/>
        <w:spacing w:line="360" w:lineRule="auto"/>
        <w:ind w:firstLine="361" w:firstLineChars="150"/>
        <w:jc w:val="left"/>
        <w:rPr>
          <w:rFonts w:ascii="宋体" w:hAnsi="宋体" w:eastAsia="宋体" w:cs="仿宋"/>
          <w:sz w:val="24"/>
          <w:szCs w:val="24"/>
          <w:highlight w:val="none"/>
        </w:rPr>
      </w:pPr>
      <w:r>
        <w:rPr>
          <w:rFonts w:hint="eastAsia" w:ascii="宋体" w:hAnsi="宋体" w:eastAsia="宋体" w:cs="仿宋"/>
          <w:sz w:val="24"/>
          <w:szCs w:val="24"/>
          <w:highlight w:val="none"/>
        </w:rPr>
        <w:t>8.评审专家在采购活动中应当遵守以下工作纪律：</w:t>
      </w:r>
    </w:p>
    <w:p>
      <w:pPr>
        <w:spacing w:line="360" w:lineRule="auto"/>
        <w:rPr>
          <w:color w:val="000000"/>
          <w:highlight w:val="none"/>
        </w:rPr>
      </w:pPr>
      <w:r>
        <w:rPr>
          <w:rFonts w:hint="eastAsia"/>
          <w:color w:val="000000"/>
          <w:highlight w:val="none"/>
        </w:rPr>
        <w:t>（一）遵行依法依规应当回避的规定；</w:t>
      </w:r>
    </w:p>
    <w:p>
      <w:pPr>
        <w:spacing w:line="360" w:lineRule="auto"/>
        <w:rPr>
          <w:color w:val="000000"/>
          <w:highlight w:val="none"/>
        </w:rPr>
      </w:pPr>
      <w:r>
        <w:rPr>
          <w:rFonts w:hint="eastAsia"/>
          <w:color w:val="000000"/>
          <w:highlight w:val="none"/>
        </w:rPr>
        <w:t>（二）评审前，应当将通讯工具或者相关电子设备交由采购代理机构统一保管；</w:t>
      </w:r>
    </w:p>
    <w:p>
      <w:pPr>
        <w:spacing w:line="360" w:lineRule="auto"/>
        <w:rPr>
          <w:color w:val="000000"/>
          <w:highlight w:val="none"/>
        </w:rPr>
      </w:pPr>
      <w:r>
        <w:rPr>
          <w:rFonts w:hint="eastAsia"/>
          <w:color w:val="000000"/>
          <w:highlight w:val="none"/>
        </w:rPr>
        <w:t>（三）评审过程中，不得与外界联系，因发生不可预见情况，确实需要与外界联系的，应当在监督人员监督之下办理；</w:t>
      </w:r>
    </w:p>
    <w:p>
      <w:pPr>
        <w:spacing w:line="360" w:lineRule="auto"/>
        <w:rPr>
          <w:color w:val="000000"/>
          <w:highlight w:val="none"/>
        </w:rPr>
      </w:pPr>
      <w:r>
        <w:rPr>
          <w:rFonts w:hint="eastAsia"/>
          <w:color w:val="000000"/>
          <w:highlight w:val="none"/>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spacing w:line="360" w:lineRule="auto"/>
        <w:rPr>
          <w:color w:val="000000"/>
          <w:highlight w:val="none"/>
        </w:rPr>
      </w:pPr>
      <w:r>
        <w:rPr>
          <w:rFonts w:hint="eastAsia"/>
          <w:color w:val="000000"/>
          <w:highlight w:val="none"/>
        </w:rPr>
        <w:t>（五）在评审过程中和评审结束后，不得记录、复制或带走任何评审资料，不得向外界透露评审内容；</w:t>
      </w:r>
    </w:p>
    <w:p>
      <w:pPr>
        <w:spacing w:line="360" w:lineRule="auto"/>
        <w:rPr>
          <w:color w:val="000000"/>
          <w:highlight w:val="none"/>
        </w:rPr>
      </w:pPr>
      <w:r>
        <w:rPr>
          <w:rFonts w:hint="eastAsia"/>
          <w:color w:val="000000"/>
          <w:highlight w:val="none"/>
        </w:rPr>
        <w:t>（六）评审现场服从采购代理机构工作人员的管理，接受现场监督人员的合法监督；</w:t>
      </w:r>
    </w:p>
    <w:p>
      <w:pPr>
        <w:spacing w:line="360" w:lineRule="auto"/>
        <w:rPr>
          <w:color w:val="000000"/>
          <w:highlight w:val="none"/>
        </w:rPr>
      </w:pPr>
      <w:r>
        <w:rPr>
          <w:rFonts w:hint="eastAsia"/>
          <w:color w:val="000000"/>
          <w:highlight w:val="none"/>
        </w:rPr>
        <w:t>（七）遵守有关廉洁自律规定，不得私下接触供应商，不得收受供应商及有关业务单位和个人的财物或好处，不得接受采购代理机构的请托。</w:t>
      </w:r>
    </w:p>
    <w:p>
      <w:pPr>
        <w:spacing w:line="360" w:lineRule="auto"/>
        <w:rPr>
          <w:rFonts w:cs="仿宋"/>
          <w:highlight w:val="none"/>
        </w:rPr>
      </w:pPr>
      <w:r>
        <w:rPr>
          <w:rFonts w:cs="仿宋"/>
          <w:highlight w:val="none"/>
        </w:rPr>
        <w:br w:type="page"/>
      </w:r>
    </w:p>
    <w:p>
      <w:pPr>
        <w:widowControl w:val="0"/>
        <w:spacing w:line="360" w:lineRule="auto"/>
        <w:ind w:firstLine="480" w:firstLineChars="200"/>
        <w:jc w:val="both"/>
        <w:rPr>
          <w:rFonts w:cs="仿宋"/>
          <w:highlight w:val="none"/>
        </w:rPr>
      </w:pPr>
    </w:p>
    <w:bookmarkEnd w:id="152"/>
    <w:bookmarkEnd w:id="153"/>
    <w:bookmarkEnd w:id="154"/>
    <w:bookmarkEnd w:id="279"/>
    <w:bookmarkEnd w:id="285"/>
    <w:p>
      <w:pPr>
        <w:pStyle w:val="40"/>
        <w:numPr>
          <w:ilvl w:val="0"/>
          <w:numId w:val="1"/>
        </w:numPr>
        <w:spacing w:line="360" w:lineRule="auto"/>
        <w:rPr>
          <w:rFonts w:ascii="宋体" w:hAnsi="宋体" w:cs="仿宋"/>
          <w:highlight w:val="none"/>
        </w:rPr>
      </w:pPr>
      <w:bookmarkStart w:id="286" w:name="_Toc25764"/>
      <w:bookmarkStart w:id="287" w:name="_Toc4052"/>
      <w:bookmarkStart w:id="288" w:name="_Toc572"/>
      <w:bookmarkStart w:id="289" w:name="_Toc98423932"/>
      <w:bookmarkStart w:id="290" w:name="_Toc69478559"/>
      <w:r>
        <w:rPr>
          <w:rFonts w:hint="eastAsia" w:ascii="宋体" w:hAnsi="宋体" w:cs="仿宋"/>
          <w:highlight w:val="none"/>
        </w:rPr>
        <w:t>采购合同（草案）</w:t>
      </w:r>
      <w:bookmarkEnd w:id="286"/>
      <w:bookmarkEnd w:id="287"/>
      <w:bookmarkEnd w:id="288"/>
      <w:bookmarkEnd w:id="289"/>
      <w:bookmarkEnd w:id="290"/>
    </w:p>
    <w:bookmarkEnd w:id="52"/>
    <w:p>
      <w:pPr>
        <w:spacing w:line="360" w:lineRule="auto"/>
        <w:rPr>
          <w:color w:val="000000"/>
          <w:highlight w:val="none"/>
        </w:rPr>
      </w:pPr>
    </w:p>
    <w:p>
      <w:pPr>
        <w:spacing w:line="360" w:lineRule="auto"/>
        <w:rPr>
          <w:color w:val="000000"/>
          <w:highlight w:val="none"/>
          <w:u w:val="single"/>
        </w:rPr>
      </w:pPr>
      <w:r>
        <w:rPr>
          <w:rFonts w:hint="eastAsia"/>
          <w:color w:val="000000"/>
          <w:highlight w:val="none"/>
        </w:rPr>
        <w:t>项目编号：</w:t>
      </w:r>
    </w:p>
    <w:p>
      <w:pPr>
        <w:spacing w:line="360" w:lineRule="auto"/>
        <w:rPr>
          <w:highlight w:val="none"/>
        </w:rPr>
      </w:pPr>
      <w:r>
        <w:rPr>
          <w:rFonts w:hint="eastAsia"/>
          <w:color w:val="000000"/>
          <w:highlight w:val="none"/>
        </w:rPr>
        <w:t>签订地点：什邡国润供水有限公司</w:t>
      </w:r>
      <w:r>
        <w:rPr>
          <w:rFonts w:hint="eastAsia"/>
          <w:color w:val="000000"/>
          <w:sz w:val="21"/>
          <w:szCs w:val="21"/>
          <w:highlight w:val="none"/>
        </w:rPr>
        <w:t xml:space="preserve">。 </w:t>
      </w:r>
    </w:p>
    <w:p>
      <w:pPr>
        <w:spacing w:line="360" w:lineRule="auto"/>
        <w:rPr>
          <w:highlight w:val="none"/>
        </w:rPr>
      </w:pPr>
      <w:r>
        <w:rPr>
          <w:rFonts w:hint="eastAsia"/>
          <w:color w:val="000000"/>
          <w:highlight w:val="none"/>
        </w:rPr>
        <w:t>签订时间：</w:t>
      </w:r>
      <w:r>
        <w:rPr>
          <w:color w:val="000000"/>
          <w:highlight w:val="none"/>
        </w:rPr>
        <w:t xml:space="preserve"> </w:t>
      </w:r>
      <w:r>
        <w:rPr>
          <w:rFonts w:hint="eastAsia"/>
          <w:color w:val="000000"/>
          <w:highlight w:val="none"/>
        </w:rPr>
        <w:t xml:space="preserve"> </w:t>
      </w:r>
    </w:p>
    <w:p>
      <w:pPr>
        <w:spacing w:line="360" w:lineRule="auto"/>
        <w:rPr>
          <w:highlight w:val="none"/>
        </w:rPr>
      </w:pPr>
      <w:r>
        <w:rPr>
          <w:rFonts w:hint="eastAsia"/>
          <w:color w:val="000000"/>
          <w:highlight w:val="none"/>
        </w:rPr>
        <w:t>采购人（甲方）：</w:t>
      </w:r>
      <w:r>
        <w:rPr>
          <w:rFonts w:hint="eastAsia"/>
          <w:color w:val="000000"/>
          <w:highlight w:val="none"/>
          <w:u w:val="single"/>
        </w:rPr>
        <w:t xml:space="preserve">什邡国润供水有限公司 </w:t>
      </w:r>
    </w:p>
    <w:p>
      <w:pPr>
        <w:spacing w:line="360" w:lineRule="auto"/>
        <w:rPr>
          <w:rFonts w:ascii="Times New Roman" w:hAnsi="Times New Roman" w:cs="Times New Roman"/>
          <w:color w:val="000000"/>
          <w:highlight w:val="none"/>
          <w:u w:val="single"/>
        </w:rPr>
      </w:pPr>
      <w:r>
        <w:rPr>
          <w:rFonts w:hint="eastAsia"/>
          <w:color w:val="000000"/>
          <w:highlight w:val="none"/>
        </w:rPr>
        <w:t>供应商（乙方）：</w:t>
      </w:r>
      <w:r>
        <w:rPr>
          <w:rFonts w:hint="eastAsia"/>
          <w:color w:val="000000"/>
          <w:highlight w:val="none"/>
          <w:u w:val="single"/>
        </w:rPr>
        <w:t xml:space="preserve"> </w:t>
      </w:r>
      <w:r>
        <w:rPr>
          <w:color w:val="000000"/>
          <w:highlight w:val="none"/>
          <w:u w:val="single"/>
        </w:rPr>
        <w:t xml:space="preserve">                    </w:t>
      </w:r>
    </w:p>
    <w:p>
      <w:pPr>
        <w:spacing w:line="360" w:lineRule="auto"/>
        <w:rPr>
          <w:color w:val="000000"/>
          <w:highlight w:val="none"/>
        </w:rPr>
      </w:pPr>
      <w:r>
        <w:rPr>
          <w:rFonts w:hint="eastAsia"/>
          <w:color w:val="000000"/>
          <w:highlight w:val="none"/>
        </w:rPr>
        <w:t xml:space="preserve">依据《中华人民共和国民法典》《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 </w:t>
      </w:r>
    </w:p>
    <w:p>
      <w:pPr>
        <w:spacing w:line="360" w:lineRule="auto"/>
        <w:rPr>
          <w:rFonts w:ascii="黑体" w:eastAsia="黑体" w:cs="黑体"/>
          <w:color w:val="000000"/>
          <w:highlight w:val="none"/>
        </w:rPr>
      </w:pPr>
      <w:bookmarkStart w:id="291" w:name="_Toc513642423"/>
      <w:bookmarkStart w:id="292" w:name="_Toc515526461"/>
      <w:r>
        <w:rPr>
          <w:rFonts w:hint="eastAsia" w:ascii="黑体" w:eastAsia="黑体" w:cs="黑体"/>
          <w:color w:val="000000"/>
          <w:highlight w:val="none"/>
        </w:rPr>
        <w:t>一、</w:t>
      </w:r>
      <w:r>
        <w:rPr>
          <w:rFonts w:ascii="黑体" w:eastAsia="黑体" w:cs="黑体"/>
          <w:color w:val="000000"/>
          <w:highlight w:val="none"/>
        </w:rPr>
        <w:t>工程概况</w:t>
      </w:r>
      <w:bookmarkEnd w:id="291"/>
      <w:bookmarkEnd w:id="292"/>
    </w:p>
    <w:p>
      <w:pPr>
        <w:spacing w:line="360" w:lineRule="auto"/>
        <w:rPr>
          <w:color w:val="000000"/>
          <w:highlight w:val="none"/>
        </w:rPr>
      </w:pPr>
      <w:r>
        <w:rPr>
          <w:color w:val="000000"/>
          <w:highlight w:val="none"/>
        </w:rPr>
        <w:t>1.工程名称：</w:t>
      </w:r>
      <w:r>
        <w:rPr>
          <w:rFonts w:hint="eastAsia"/>
          <w:color w:val="000000"/>
          <w:highlight w:val="none"/>
        </w:rPr>
        <w:t xml:space="preserve">                                </w:t>
      </w:r>
      <w:r>
        <w:rPr>
          <w:color w:val="000000"/>
          <w:highlight w:val="none"/>
        </w:rPr>
        <w:t xml:space="preserve">                    </w:t>
      </w:r>
    </w:p>
    <w:p>
      <w:pPr>
        <w:spacing w:line="360" w:lineRule="auto"/>
        <w:rPr>
          <w:color w:val="000000"/>
          <w:highlight w:val="none"/>
        </w:rPr>
      </w:pPr>
      <w:r>
        <w:rPr>
          <w:color w:val="000000"/>
          <w:highlight w:val="none"/>
        </w:rPr>
        <w:t>2.工程地点：</w:t>
      </w:r>
      <w:r>
        <w:rPr>
          <w:rFonts w:hint="eastAsia"/>
          <w:color w:val="000000"/>
          <w:highlight w:val="none"/>
        </w:rPr>
        <w:t>德阳市什邡市</w:t>
      </w:r>
    </w:p>
    <w:p>
      <w:pPr>
        <w:spacing w:line="360" w:lineRule="auto"/>
        <w:rPr>
          <w:color w:val="000000"/>
          <w:highlight w:val="none"/>
        </w:rPr>
      </w:pPr>
      <w:r>
        <w:rPr>
          <w:rFonts w:hint="eastAsia"/>
          <w:color w:val="000000"/>
          <w:highlight w:val="none"/>
        </w:rPr>
        <w:t>3</w:t>
      </w:r>
      <w:r>
        <w:rPr>
          <w:color w:val="000000"/>
          <w:highlight w:val="none"/>
        </w:rPr>
        <w:t>.资金来源：</w:t>
      </w:r>
      <w:r>
        <w:rPr>
          <w:rFonts w:hint="eastAsia"/>
          <w:color w:val="000000"/>
          <w:highlight w:val="none"/>
        </w:rPr>
        <w:t>业主自筹</w:t>
      </w:r>
      <w:r>
        <w:rPr>
          <w:color w:val="000000"/>
          <w:highlight w:val="none"/>
        </w:rPr>
        <w:t>。</w:t>
      </w:r>
    </w:p>
    <w:p>
      <w:pPr>
        <w:spacing w:line="360" w:lineRule="auto"/>
        <w:rPr>
          <w:color w:val="000000"/>
          <w:highlight w:val="none"/>
        </w:rPr>
      </w:pPr>
      <w:r>
        <w:rPr>
          <w:rFonts w:hint="eastAsia"/>
          <w:color w:val="000000"/>
          <w:highlight w:val="none"/>
        </w:rPr>
        <w:t xml:space="preserve">4.工程内容： </w:t>
      </w:r>
    </w:p>
    <w:p>
      <w:pPr>
        <w:spacing w:line="360" w:lineRule="auto"/>
        <w:rPr>
          <w:rFonts w:ascii="黑体" w:eastAsia="黑体" w:cs="黑体"/>
          <w:color w:val="000000"/>
          <w:highlight w:val="none"/>
        </w:rPr>
      </w:pPr>
      <w:r>
        <w:rPr>
          <w:rFonts w:hint="eastAsia" w:ascii="黑体" w:eastAsia="黑体" w:cs="黑体"/>
          <w:color w:val="000000"/>
          <w:highlight w:val="none"/>
        </w:rPr>
        <w:t>二、</w:t>
      </w:r>
      <w:r>
        <w:rPr>
          <w:rFonts w:ascii="黑体" w:eastAsia="黑体" w:cs="黑体"/>
          <w:color w:val="000000"/>
          <w:highlight w:val="none"/>
        </w:rPr>
        <w:t xml:space="preserve">合同货物 </w:t>
      </w:r>
    </w:p>
    <w:tbl>
      <w:tblPr>
        <w:tblStyle w:val="4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338"/>
        <w:gridCol w:w="4143"/>
        <w:gridCol w:w="818"/>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9" w:type="dxa"/>
            <w:vAlign w:val="center"/>
          </w:tcPr>
          <w:p>
            <w:pPr>
              <w:widowControl w:val="0"/>
              <w:spacing w:line="360" w:lineRule="auto"/>
              <w:jc w:val="both"/>
              <w:rPr>
                <w:highlight w:val="none"/>
              </w:rPr>
            </w:pPr>
            <w:r>
              <w:rPr>
                <w:rFonts w:hint="eastAsia"/>
                <w:highlight w:val="none"/>
              </w:rPr>
              <w:t>序号</w:t>
            </w:r>
          </w:p>
        </w:tc>
        <w:tc>
          <w:tcPr>
            <w:tcW w:w="1338" w:type="dxa"/>
            <w:vAlign w:val="center"/>
          </w:tcPr>
          <w:p>
            <w:pPr>
              <w:widowControl w:val="0"/>
              <w:spacing w:line="360" w:lineRule="auto"/>
              <w:jc w:val="both"/>
              <w:rPr>
                <w:highlight w:val="none"/>
              </w:rPr>
            </w:pPr>
            <w:r>
              <w:rPr>
                <w:rFonts w:hint="eastAsia"/>
                <w:highlight w:val="none"/>
              </w:rPr>
              <w:t>设备名称</w:t>
            </w:r>
          </w:p>
        </w:tc>
        <w:tc>
          <w:tcPr>
            <w:tcW w:w="4143" w:type="dxa"/>
            <w:vAlign w:val="center"/>
          </w:tcPr>
          <w:p>
            <w:pPr>
              <w:widowControl w:val="0"/>
              <w:spacing w:line="360" w:lineRule="auto"/>
              <w:jc w:val="both"/>
              <w:rPr>
                <w:highlight w:val="none"/>
              </w:rPr>
            </w:pPr>
            <w:r>
              <w:rPr>
                <w:rFonts w:hint="eastAsia"/>
                <w:highlight w:val="none"/>
              </w:rPr>
              <w:t>规格、型号、性能</w:t>
            </w:r>
          </w:p>
        </w:tc>
        <w:tc>
          <w:tcPr>
            <w:tcW w:w="818" w:type="dxa"/>
            <w:vAlign w:val="center"/>
          </w:tcPr>
          <w:p>
            <w:pPr>
              <w:widowControl w:val="0"/>
              <w:spacing w:line="360" w:lineRule="auto"/>
              <w:jc w:val="both"/>
              <w:rPr>
                <w:highlight w:val="none"/>
              </w:rPr>
            </w:pPr>
            <w:r>
              <w:rPr>
                <w:rFonts w:hint="eastAsia"/>
                <w:highlight w:val="none"/>
              </w:rPr>
              <w:t>数量</w:t>
            </w:r>
          </w:p>
        </w:tc>
        <w:tc>
          <w:tcPr>
            <w:tcW w:w="1134" w:type="dxa"/>
            <w:vAlign w:val="center"/>
          </w:tcPr>
          <w:p>
            <w:pPr>
              <w:widowControl w:val="0"/>
              <w:spacing w:line="360" w:lineRule="auto"/>
              <w:jc w:val="both"/>
              <w:rPr>
                <w:highlight w:val="none"/>
              </w:rPr>
            </w:pPr>
            <w:r>
              <w:rPr>
                <w:rFonts w:hint="eastAsia"/>
                <w:highlight w:val="none"/>
              </w:rPr>
              <w:t>投标单价（元）</w:t>
            </w:r>
          </w:p>
        </w:tc>
        <w:tc>
          <w:tcPr>
            <w:tcW w:w="1276" w:type="dxa"/>
            <w:vAlign w:val="center"/>
          </w:tcPr>
          <w:p>
            <w:pPr>
              <w:widowControl w:val="0"/>
              <w:spacing w:line="360" w:lineRule="auto"/>
              <w:jc w:val="both"/>
              <w:rPr>
                <w:highlight w:val="none"/>
              </w:rPr>
            </w:pPr>
            <w:r>
              <w:rPr>
                <w:rFonts w:hint="eastAsia"/>
                <w:highlight w:val="none"/>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9" w:type="dxa"/>
            <w:vAlign w:val="center"/>
          </w:tcPr>
          <w:p>
            <w:pPr>
              <w:widowControl w:val="0"/>
              <w:spacing w:line="360" w:lineRule="auto"/>
              <w:jc w:val="both"/>
              <w:rPr>
                <w:sz w:val="21"/>
                <w:szCs w:val="21"/>
                <w:highlight w:val="none"/>
              </w:rPr>
            </w:pPr>
            <w:r>
              <w:rPr>
                <w:sz w:val="21"/>
                <w:szCs w:val="21"/>
                <w:highlight w:val="none"/>
              </w:rPr>
              <w:t>1</w:t>
            </w:r>
          </w:p>
        </w:tc>
        <w:tc>
          <w:tcPr>
            <w:tcW w:w="1338" w:type="dxa"/>
            <w:vAlign w:val="center"/>
          </w:tcPr>
          <w:p>
            <w:pPr>
              <w:widowControl w:val="0"/>
              <w:spacing w:line="360" w:lineRule="auto"/>
              <w:jc w:val="both"/>
              <w:rPr>
                <w:sz w:val="21"/>
                <w:szCs w:val="21"/>
                <w:highlight w:val="none"/>
              </w:rPr>
            </w:pPr>
          </w:p>
        </w:tc>
        <w:tc>
          <w:tcPr>
            <w:tcW w:w="4143" w:type="dxa"/>
            <w:vAlign w:val="center"/>
          </w:tcPr>
          <w:p>
            <w:pPr>
              <w:widowControl w:val="0"/>
              <w:spacing w:line="360" w:lineRule="auto"/>
              <w:jc w:val="both"/>
              <w:rPr>
                <w:sz w:val="21"/>
                <w:szCs w:val="21"/>
                <w:highlight w:val="none"/>
              </w:rPr>
            </w:pPr>
          </w:p>
        </w:tc>
        <w:tc>
          <w:tcPr>
            <w:tcW w:w="818" w:type="dxa"/>
            <w:vAlign w:val="center"/>
          </w:tcPr>
          <w:p>
            <w:pPr>
              <w:widowControl w:val="0"/>
              <w:spacing w:line="360" w:lineRule="auto"/>
              <w:jc w:val="both"/>
              <w:rPr>
                <w:sz w:val="21"/>
                <w:szCs w:val="21"/>
                <w:highlight w:val="none"/>
              </w:rPr>
            </w:pPr>
          </w:p>
        </w:tc>
        <w:tc>
          <w:tcPr>
            <w:tcW w:w="1134" w:type="dxa"/>
            <w:vAlign w:val="center"/>
          </w:tcPr>
          <w:p>
            <w:pPr>
              <w:widowControl w:val="0"/>
              <w:spacing w:line="360" w:lineRule="auto"/>
              <w:jc w:val="both"/>
              <w:rPr>
                <w:sz w:val="21"/>
                <w:szCs w:val="21"/>
                <w:highlight w:val="none"/>
              </w:rPr>
            </w:pPr>
          </w:p>
        </w:tc>
        <w:tc>
          <w:tcPr>
            <w:tcW w:w="1276" w:type="dxa"/>
            <w:vAlign w:val="center"/>
          </w:tcPr>
          <w:p>
            <w:pPr>
              <w:widowControl w:val="0"/>
              <w:spacing w:line="360" w:lineRule="auto"/>
              <w:jc w:val="both"/>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9" w:type="dxa"/>
            <w:vAlign w:val="center"/>
          </w:tcPr>
          <w:p>
            <w:pPr>
              <w:widowControl w:val="0"/>
              <w:spacing w:line="360" w:lineRule="auto"/>
              <w:jc w:val="both"/>
              <w:rPr>
                <w:sz w:val="21"/>
                <w:szCs w:val="21"/>
                <w:highlight w:val="none"/>
              </w:rPr>
            </w:pPr>
            <w:r>
              <w:rPr>
                <w:rFonts w:hint="eastAsia"/>
                <w:sz w:val="21"/>
                <w:szCs w:val="21"/>
                <w:highlight w:val="none"/>
              </w:rPr>
              <w:t>2</w:t>
            </w:r>
          </w:p>
        </w:tc>
        <w:tc>
          <w:tcPr>
            <w:tcW w:w="1338" w:type="dxa"/>
            <w:vAlign w:val="center"/>
          </w:tcPr>
          <w:p>
            <w:pPr>
              <w:widowControl w:val="0"/>
              <w:spacing w:line="360" w:lineRule="auto"/>
              <w:jc w:val="both"/>
              <w:rPr>
                <w:sz w:val="21"/>
                <w:szCs w:val="21"/>
                <w:highlight w:val="none"/>
              </w:rPr>
            </w:pPr>
          </w:p>
        </w:tc>
        <w:tc>
          <w:tcPr>
            <w:tcW w:w="4143" w:type="dxa"/>
            <w:vAlign w:val="center"/>
          </w:tcPr>
          <w:p>
            <w:pPr>
              <w:widowControl w:val="0"/>
              <w:spacing w:line="360" w:lineRule="auto"/>
              <w:jc w:val="both"/>
              <w:rPr>
                <w:sz w:val="21"/>
                <w:szCs w:val="21"/>
                <w:highlight w:val="none"/>
              </w:rPr>
            </w:pPr>
          </w:p>
        </w:tc>
        <w:tc>
          <w:tcPr>
            <w:tcW w:w="818" w:type="dxa"/>
            <w:vAlign w:val="center"/>
          </w:tcPr>
          <w:p>
            <w:pPr>
              <w:widowControl w:val="0"/>
              <w:spacing w:line="360" w:lineRule="auto"/>
              <w:jc w:val="both"/>
              <w:rPr>
                <w:sz w:val="21"/>
                <w:szCs w:val="21"/>
                <w:highlight w:val="none"/>
              </w:rPr>
            </w:pPr>
          </w:p>
        </w:tc>
        <w:tc>
          <w:tcPr>
            <w:tcW w:w="1134" w:type="dxa"/>
            <w:vAlign w:val="center"/>
          </w:tcPr>
          <w:p>
            <w:pPr>
              <w:widowControl w:val="0"/>
              <w:spacing w:line="360" w:lineRule="auto"/>
              <w:jc w:val="both"/>
              <w:rPr>
                <w:sz w:val="21"/>
                <w:szCs w:val="21"/>
                <w:highlight w:val="none"/>
              </w:rPr>
            </w:pPr>
          </w:p>
        </w:tc>
        <w:tc>
          <w:tcPr>
            <w:tcW w:w="1276" w:type="dxa"/>
            <w:vAlign w:val="center"/>
          </w:tcPr>
          <w:p>
            <w:pPr>
              <w:widowControl w:val="0"/>
              <w:spacing w:line="360" w:lineRule="auto"/>
              <w:jc w:val="both"/>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9" w:type="dxa"/>
            <w:vAlign w:val="center"/>
          </w:tcPr>
          <w:p>
            <w:pPr>
              <w:widowControl w:val="0"/>
              <w:spacing w:line="360" w:lineRule="auto"/>
              <w:jc w:val="both"/>
              <w:rPr>
                <w:sz w:val="21"/>
                <w:szCs w:val="21"/>
                <w:highlight w:val="none"/>
              </w:rPr>
            </w:pPr>
            <w:r>
              <w:rPr>
                <w:sz w:val="21"/>
                <w:szCs w:val="21"/>
                <w:highlight w:val="none"/>
              </w:rPr>
              <w:t>3</w:t>
            </w:r>
          </w:p>
        </w:tc>
        <w:tc>
          <w:tcPr>
            <w:tcW w:w="1338" w:type="dxa"/>
            <w:vAlign w:val="center"/>
          </w:tcPr>
          <w:p>
            <w:pPr>
              <w:widowControl w:val="0"/>
              <w:spacing w:line="360" w:lineRule="auto"/>
              <w:jc w:val="both"/>
              <w:rPr>
                <w:sz w:val="21"/>
                <w:szCs w:val="21"/>
                <w:highlight w:val="none"/>
              </w:rPr>
            </w:pPr>
          </w:p>
        </w:tc>
        <w:tc>
          <w:tcPr>
            <w:tcW w:w="4143" w:type="dxa"/>
            <w:vAlign w:val="center"/>
          </w:tcPr>
          <w:p>
            <w:pPr>
              <w:widowControl w:val="0"/>
              <w:spacing w:line="360" w:lineRule="auto"/>
              <w:jc w:val="both"/>
              <w:rPr>
                <w:sz w:val="21"/>
                <w:szCs w:val="21"/>
                <w:highlight w:val="none"/>
              </w:rPr>
            </w:pPr>
          </w:p>
        </w:tc>
        <w:tc>
          <w:tcPr>
            <w:tcW w:w="818" w:type="dxa"/>
            <w:vAlign w:val="center"/>
          </w:tcPr>
          <w:p>
            <w:pPr>
              <w:widowControl w:val="0"/>
              <w:spacing w:line="360" w:lineRule="auto"/>
              <w:jc w:val="both"/>
              <w:rPr>
                <w:sz w:val="21"/>
                <w:szCs w:val="21"/>
                <w:highlight w:val="none"/>
              </w:rPr>
            </w:pPr>
          </w:p>
        </w:tc>
        <w:tc>
          <w:tcPr>
            <w:tcW w:w="1134" w:type="dxa"/>
            <w:vAlign w:val="center"/>
          </w:tcPr>
          <w:p>
            <w:pPr>
              <w:widowControl w:val="0"/>
              <w:spacing w:line="360" w:lineRule="auto"/>
              <w:jc w:val="both"/>
              <w:rPr>
                <w:sz w:val="21"/>
                <w:szCs w:val="21"/>
                <w:highlight w:val="none"/>
              </w:rPr>
            </w:pPr>
          </w:p>
        </w:tc>
        <w:tc>
          <w:tcPr>
            <w:tcW w:w="1276" w:type="dxa"/>
            <w:vAlign w:val="center"/>
          </w:tcPr>
          <w:p>
            <w:pPr>
              <w:widowControl w:val="0"/>
              <w:spacing w:line="360" w:lineRule="auto"/>
              <w:jc w:val="both"/>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9" w:type="dxa"/>
            <w:vAlign w:val="center"/>
          </w:tcPr>
          <w:p>
            <w:pPr>
              <w:widowControl w:val="0"/>
              <w:spacing w:line="360" w:lineRule="auto"/>
              <w:jc w:val="both"/>
              <w:rPr>
                <w:sz w:val="21"/>
                <w:szCs w:val="21"/>
                <w:highlight w:val="none"/>
              </w:rPr>
            </w:pPr>
            <w:r>
              <w:rPr>
                <w:sz w:val="21"/>
                <w:szCs w:val="21"/>
                <w:highlight w:val="none"/>
              </w:rPr>
              <w:t>4</w:t>
            </w:r>
          </w:p>
        </w:tc>
        <w:tc>
          <w:tcPr>
            <w:tcW w:w="1338" w:type="dxa"/>
            <w:vAlign w:val="center"/>
          </w:tcPr>
          <w:p>
            <w:pPr>
              <w:widowControl w:val="0"/>
              <w:spacing w:line="360" w:lineRule="auto"/>
              <w:jc w:val="both"/>
              <w:rPr>
                <w:sz w:val="21"/>
                <w:szCs w:val="21"/>
                <w:highlight w:val="none"/>
              </w:rPr>
            </w:pPr>
          </w:p>
        </w:tc>
        <w:tc>
          <w:tcPr>
            <w:tcW w:w="4143" w:type="dxa"/>
            <w:vAlign w:val="center"/>
          </w:tcPr>
          <w:p>
            <w:pPr>
              <w:widowControl w:val="0"/>
              <w:spacing w:line="360" w:lineRule="auto"/>
              <w:jc w:val="both"/>
              <w:rPr>
                <w:sz w:val="21"/>
                <w:szCs w:val="21"/>
                <w:highlight w:val="none"/>
              </w:rPr>
            </w:pPr>
          </w:p>
        </w:tc>
        <w:tc>
          <w:tcPr>
            <w:tcW w:w="818" w:type="dxa"/>
            <w:vAlign w:val="center"/>
          </w:tcPr>
          <w:p>
            <w:pPr>
              <w:widowControl w:val="0"/>
              <w:spacing w:line="360" w:lineRule="auto"/>
              <w:jc w:val="both"/>
              <w:rPr>
                <w:sz w:val="21"/>
                <w:szCs w:val="21"/>
                <w:highlight w:val="none"/>
              </w:rPr>
            </w:pPr>
          </w:p>
        </w:tc>
        <w:tc>
          <w:tcPr>
            <w:tcW w:w="1134" w:type="dxa"/>
            <w:vAlign w:val="center"/>
          </w:tcPr>
          <w:p>
            <w:pPr>
              <w:widowControl w:val="0"/>
              <w:spacing w:line="360" w:lineRule="auto"/>
              <w:jc w:val="both"/>
              <w:rPr>
                <w:sz w:val="21"/>
                <w:szCs w:val="21"/>
                <w:highlight w:val="none"/>
              </w:rPr>
            </w:pPr>
          </w:p>
        </w:tc>
        <w:tc>
          <w:tcPr>
            <w:tcW w:w="1276" w:type="dxa"/>
            <w:vAlign w:val="center"/>
          </w:tcPr>
          <w:p>
            <w:pPr>
              <w:widowControl w:val="0"/>
              <w:spacing w:line="360" w:lineRule="auto"/>
              <w:jc w:val="both"/>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9" w:type="dxa"/>
            <w:vAlign w:val="center"/>
          </w:tcPr>
          <w:p>
            <w:pPr>
              <w:widowControl w:val="0"/>
              <w:spacing w:line="360" w:lineRule="auto"/>
              <w:jc w:val="both"/>
              <w:rPr>
                <w:sz w:val="21"/>
                <w:szCs w:val="21"/>
                <w:highlight w:val="none"/>
              </w:rPr>
            </w:pPr>
            <w:r>
              <w:rPr>
                <w:rFonts w:hint="eastAsia"/>
                <w:sz w:val="21"/>
                <w:szCs w:val="21"/>
                <w:highlight w:val="none"/>
              </w:rPr>
              <w:t>…</w:t>
            </w:r>
          </w:p>
        </w:tc>
        <w:tc>
          <w:tcPr>
            <w:tcW w:w="1338" w:type="dxa"/>
            <w:vAlign w:val="center"/>
          </w:tcPr>
          <w:p>
            <w:pPr>
              <w:widowControl w:val="0"/>
              <w:spacing w:line="360" w:lineRule="auto"/>
              <w:jc w:val="both"/>
              <w:rPr>
                <w:sz w:val="21"/>
                <w:szCs w:val="21"/>
                <w:highlight w:val="none"/>
              </w:rPr>
            </w:pPr>
            <w:r>
              <w:rPr>
                <w:rFonts w:hint="eastAsia"/>
                <w:sz w:val="21"/>
                <w:szCs w:val="21"/>
                <w:highlight w:val="none"/>
              </w:rPr>
              <w:t>……</w:t>
            </w:r>
          </w:p>
        </w:tc>
        <w:tc>
          <w:tcPr>
            <w:tcW w:w="4143" w:type="dxa"/>
            <w:vAlign w:val="center"/>
          </w:tcPr>
          <w:p>
            <w:pPr>
              <w:widowControl w:val="0"/>
              <w:spacing w:line="360" w:lineRule="auto"/>
              <w:jc w:val="both"/>
              <w:rPr>
                <w:sz w:val="21"/>
                <w:szCs w:val="21"/>
                <w:highlight w:val="none"/>
              </w:rPr>
            </w:pPr>
          </w:p>
        </w:tc>
        <w:tc>
          <w:tcPr>
            <w:tcW w:w="818" w:type="dxa"/>
            <w:vAlign w:val="center"/>
          </w:tcPr>
          <w:p>
            <w:pPr>
              <w:widowControl w:val="0"/>
              <w:spacing w:line="360" w:lineRule="auto"/>
              <w:jc w:val="both"/>
              <w:rPr>
                <w:sz w:val="21"/>
                <w:szCs w:val="21"/>
                <w:highlight w:val="none"/>
              </w:rPr>
            </w:pPr>
          </w:p>
        </w:tc>
        <w:tc>
          <w:tcPr>
            <w:tcW w:w="1134" w:type="dxa"/>
            <w:vAlign w:val="center"/>
          </w:tcPr>
          <w:p>
            <w:pPr>
              <w:widowControl w:val="0"/>
              <w:spacing w:line="360" w:lineRule="auto"/>
              <w:jc w:val="both"/>
              <w:rPr>
                <w:sz w:val="21"/>
                <w:szCs w:val="21"/>
                <w:highlight w:val="none"/>
              </w:rPr>
            </w:pPr>
          </w:p>
        </w:tc>
        <w:tc>
          <w:tcPr>
            <w:tcW w:w="1276" w:type="dxa"/>
            <w:vAlign w:val="center"/>
          </w:tcPr>
          <w:p>
            <w:pPr>
              <w:widowControl w:val="0"/>
              <w:spacing w:line="360" w:lineRule="auto"/>
              <w:jc w:val="both"/>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7" w:type="dxa"/>
            <w:gridSpan w:val="2"/>
            <w:vAlign w:val="center"/>
          </w:tcPr>
          <w:p>
            <w:pPr>
              <w:widowControl w:val="0"/>
              <w:spacing w:line="360" w:lineRule="auto"/>
              <w:jc w:val="both"/>
              <w:rPr>
                <w:sz w:val="21"/>
                <w:szCs w:val="21"/>
                <w:highlight w:val="none"/>
              </w:rPr>
            </w:pPr>
            <w:r>
              <w:rPr>
                <w:rFonts w:hint="eastAsia"/>
                <w:sz w:val="21"/>
                <w:szCs w:val="21"/>
                <w:highlight w:val="none"/>
              </w:rPr>
              <w:t>合  计</w:t>
            </w:r>
          </w:p>
        </w:tc>
        <w:tc>
          <w:tcPr>
            <w:tcW w:w="4961" w:type="dxa"/>
            <w:gridSpan w:val="2"/>
            <w:vAlign w:val="center"/>
          </w:tcPr>
          <w:p>
            <w:pPr>
              <w:widowControl w:val="0"/>
              <w:spacing w:line="360" w:lineRule="auto"/>
              <w:jc w:val="both"/>
              <w:rPr>
                <w:sz w:val="21"/>
                <w:szCs w:val="21"/>
                <w:highlight w:val="none"/>
              </w:rPr>
            </w:pPr>
            <w:r>
              <w:rPr>
                <w:rFonts w:hint="eastAsia"/>
                <w:sz w:val="21"/>
                <w:szCs w:val="21"/>
                <w:highlight w:val="none"/>
              </w:rPr>
              <w:t>大写：</w:t>
            </w:r>
            <w:r>
              <w:rPr>
                <w:sz w:val="21"/>
                <w:szCs w:val="21"/>
                <w:highlight w:val="none"/>
              </w:rPr>
              <w:t xml:space="preserve"> </w:t>
            </w:r>
          </w:p>
        </w:tc>
        <w:tc>
          <w:tcPr>
            <w:tcW w:w="2410" w:type="dxa"/>
            <w:gridSpan w:val="2"/>
            <w:vAlign w:val="center"/>
          </w:tcPr>
          <w:p>
            <w:pPr>
              <w:widowControl w:val="0"/>
              <w:spacing w:line="360" w:lineRule="auto"/>
              <w:jc w:val="both"/>
              <w:rPr>
                <w:sz w:val="21"/>
                <w:szCs w:val="21"/>
                <w:highlight w:val="none"/>
              </w:rPr>
            </w:pPr>
          </w:p>
        </w:tc>
      </w:tr>
    </w:tbl>
    <w:p>
      <w:pPr>
        <w:spacing w:line="360" w:lineRule="auto"/>
        <w:rPr>
          <w:rFonts w:ascii="黑体" w:eastAsia="黑体" w:cs="黑体"/>
          <w:color w:val="000000"/>
          <w:highlight w:val="none"/>
        </w:rPr>
      </w:pPr>
    </w:p>
    <w:p>
      <w:pPr>
        <w:spacing w:line="360" w:lineRule="auto"/>
        <w:rPr>
          <w:rFonts w:ascii="黑体" w:eastAsia="黑体" w:cs="黑体"/>
          <w:color w:val="000000"/>
          <w:highlight w:val="none"/>
        </w:rPr>
      </w:pPr>
    </w:p>
    <w:p>
      <w:pPr>
        <w:spacing w:line="360" w:lineRule="auto"/>
        <w:rPr>
          <w:highlight w:val="none"/>
        </w:rPr>
      </w:pPr>
      <w:r>
        <w:rPr>
          <w:rFonts w:hint="eastAsia" w:ascii="黑体" w:eastAsia="黑体" w:cs="黑体"/>
          <w:color w:val="000000"/>
          <w:highlight w:val="none"/>
        </w:rPr>
        <w:t xml:space="preserve">三、合同总价 </w:t>
      </w:r>
    </w:p>
    <w:p>
      <w:pPr>
        <w:spacing w:line="360" w:lineRule="auto"/>
        <w:rPr>
          <w:color w:val="000000"/>
          <w:highlight w:val="none"/>
        </w:rPr>
      </w:pPr>
      <w:r>
        <w:rPr>
          <w:rFonts w:hint="eastAsia"/>
          <w:color w:val="000000"/>
          <w:highlight w:val="none"/>
          <w:lang w:val="en-US" w:eastAsia="zh-CN"/>
        </w:rPr>
        <w:t>本项目为固定总价合同。</w:t>
      </w:r>
      <w:r>
        <w:rPr>
          <w:rFonts w:hint="eastAsia"/>
          <w:color w:val="000000"/>
          <w:highlight w:val="none"/>
        </w:rPr>
        <w:t>合同总价为人民币大写：</w:t>
      </w:r>
      <w:r>
        <w:rPr>
          <w:rFonts w:hint="eastAsia"/>
          <w:highlight w:val="non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color w:val="000000"/>
          <w:highlight w:val="none"/>
        </w:rPr>
        <w:t xml:space="preserve">元整（与投标报价一致），即 </w:t>
      </w:r>
      <w:r>
        <w:rPr>
          <w:color w:val="000000"/>
          <w:highlight w:val="none"/>
          <w:u w:val="single"/>
        </w:rPr>
        <w:t xml:space="preserve">   </w:t>
      </w:r>
      <w:r>
        <w:rPr>
          <w:rFonts w:hint="eastAsia"/>
          <w:color w:val="000000"/>
          <w:highlight w:val="none"/>
        </w:rPr>
        <w:t xml:space="preserve">元；该合同价已包括货物设计、材料、制造、包装、运输、安装、调试、检测、等所有其他有关各项的含税费用。 </w:t>
      </w:r>
    </w:p>
    <w:p>
      <w:pPr>
        <w:spacing w:line="360" w:lineRule="auto"/>
        <w:rPr>
          <w:highlight w:val="none"/>
        </w:rPr>
      </w:pPr>
      <w:r>
        <w:rPr>
          <w:rFonts w:hint="eastAsia" w:ascii="黑体" w:eastAsia="黑体" w:cs="黑体"/>
          <w:color w:val="000000"/>
          <w:highlight w:val="none"/>
        </w:rPr>
        <w:t xml:space="preserve">四、质量要求 </w:t>
      </w:r>
    </w:p>
    <w:p>
      <w:pPr>
        <w:spacing w:line="360" w:lineRule="auto"/>
        <w:rPr>
          <w:highlight w:val="none"/>
        </w:rPr>
      </w:pPr>
      <w:r>
        <w:rPr>
          <w:rFonts w:hint="eastAsia"/>
          <w:color w:val="000000"/>
          <w:highlight w:val="none"/>
        </w:rPr>
        <w:t>1、乙方须提供全新的货物（含零部件、配件等），表面无划伤、无碰撞痕迹，且权属清楚，不得侵害他人的知识产权。</w:t>
      </w:r>
    </w:p>
    <w:p>
      <w:pPr>
        <w:spacing w:line="360" w:lineRule="auto"/>
        <w:rPr>
          <w:highlight w:val="none"/>
        </w:rPr>
      </w:pPr>
      <w:r>
        <w:rPr>
          <w:rFonts w:hint="eastAsia"/>
          <w:color w:val="000000"/>
          <w:highlight w:val="none"/>
        </w:rPr>
        <w:t xml:space="preserve">2、货物必须符合或优于国家（行业） 标准，以及本项目招标文件的质量要求和技术指标与出厂标准。 </w:t>
      </w:r>
    </w:p>
    <w:p>
      <w:pPr>
        <w:spacing w:line="360" w:lineRule="auto"/>
        <w:rPr>
          <w:highlight w:val="none"/>
        </w:rPr>
      </w:pPr>
      <w:r>
        <w:rPr>
          <w:rFonts w:hint="eastAsia"/>
          <w:color w:val="000000"/>
          <w:highlight w:val="none"/>
        </w:rPr>
        <w:t xml:space="preserve">3、货物制造过程的质量控制，甲方有权到乙方生产场地检查货物质量和生产进度。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4、货到现场后由于乙方保管不当造成的质量问题，乙方亦应负责修理，但费用由乙方负担。</w:t>
      </w:r>
    </w:p>
    <w:p>
      <w:pPr>
        <w:spacing w:line="360" w:lineRule="auto"/>
        <w:rPr>
          <w:highlight w:val="none"/>
        </w:rPr>
      </w:pPr>
      <w:r>
        <w:rPr>
          <w:rFonts w:hint="eastAsia" w:ascii="黑体" w:eastAsia="黑体" w:cs="黑体"/>
          <w:color w:val="000000"/>
          <w:highlight w:val="none"/>
        </w:rPr>
        <w:t xml:space="preserve">五、交货及验收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1、乙方交货期限为合同签订生效后的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日内，在合同签订生效之日起</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天内交货到甲方指定地点，随即在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日内全部完成安装调试验收合格交付使用。(如由于采购人的原因造成合同延迟签订或验收的，时间顺延)。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2、验收由甲方组织，乙方配合进行：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货物在乙方通知甲方安装调试完毕后5日内验收；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验收标准：按国家有关规定以及甲方招标文件的质量要求和技术指标与本合同约定标准进行验收；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 如调试验收合格，双方签署调试验收单。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4、乙方应将所提供货物的装箱清单、配件、竣工图纸、随机工具、用户使用手册、原厂保修卡等资料交付给甲方。</w:t>
      </w:r>
    </w:p>
    <w:p>
      <w:pPr>
        <w:spacing w:line="360" w:lineRule="auto"/>
        <w:rPr>
          <w:highlight w:val="none"/>
        </w:rPr>
      </w:pPr>
      <w:r>
        <w:rPr>
          <w:rFonts w:hint="eastAsia" w:ascii="黑体" w:eastAsia="黑体" w:cs="黑体"/>
          <w:color w:val="000000"/>
          <w:highlight w:val="none"/>
        </w:rPr>
        <w:t xml:space="preserve">六、付款方式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1、合同签订后，乙方提供合同</w:t>
      </w:r>
      <w:r>
        <w:rPr>
          <w:rFonts w:hint="eastAsia"/>
          <w:color w:val="000000" w:themeColor="text1"/>
          <w:highlight w:val="none"/>
          <w:lang w:val="en-US" w:eastAsia="zh-CN"/>
          <w14:textFill>
            <w14:solidFill>
              <w14:schemeClr w14:val="tx1"/>
            </w14:solidFill>
          </w14:textFill>
        </w:rPr>
        <w:t>设备款项</w:t>
      </w:r>
      <w:r>
        <w:rPr>
          <w:rFonts w:hint="eastAsia"/>
          <w:color w:val="000000" w:themeColor="text1"/>
          <w:highlight w:val="none"/>
          <w14:textFill>
            <w14:solidFill>
              <w14:schemeClr w14:val="tx1"/>
            </w14:solidFill>
          </w14:textFill>
        </w:rPr>
        <w:t>30%的增值税专用发票，甲方15个工作日内支付</w:t>
      </w:r>
      <w:r>
        <w:rPr>
          <w:rFonts w:hint="eastAsia"/>
          <w:color w:val="000000" w:themeColor="text1"/>
          <w:highlight w:val="none"/>
          <w:lang w:val="en-US" w:eastAsia="zh-CN"/>
          <w14:textFill>
            <w14:solidFill>
              <w14:schemeClr w14:val="tx1"/>
            </w14:solidFill>
          </w14:textFill>
        </w:rPr>
        <w:t>设备款项</w:t>
      </w:r>
      <w:r>
        <w:rPr>
          <w:rFonts w:hint="eastAsia"/>
          <w:color w:val="000000" w:themeColor="text1"/>
          <w:highlight w:val="none"/>
          <w14:textFill>
            <w14:solidFill>
              <w14:schemeClr w14:val="tx1"/>
            </w14:solidFill>
          </w14:textFill>
        </w:rPr>
        <w:t>30%的预付款，即¥</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大写</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整</w:t>
      </w:r>
      <w:r>
        <w:rPr>
          <w:rFonts w:hint="eastAsia"/>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2、设备安装调试完成，并验收合格后，甲方支付</w:t>
      </w:r>
      <w:r>
        <w:rPr>
          <w:rFonts w:hint="eastAsia"/>
          <w:color w:val="000000" w:themeColor="text1"/>
          <w:highlight w:val="none"/>
          <w:lang w:val="en-US" w:eastAsia="zh-CN"/>
          <w14:textFill>
            <w14:solidFill>
              <w14:schemeClr w14:val="tx1"/>
            </w14:solidFill>
          </w14:textFill>
        </w:rPr>
        <w:t>设备款项</w:t>
      </w:r>
      <w:r>
        <w:rPr>
          <w:rFonts w:hint="eastAsia"/>
          <w:color w:val="000000" w:themeColor="text1"/>
          <w:highlight w:val="none"/>
          <w14:textFill>
            <w14:solidFill>
              <w14:schemeClr w14:val="tx1"/>
            </w14:solidFill>
          </w14:textFill>
        </w:rPr>
        <w:t>6</w:t>
      </w:r>
      <w:r>
        <w:rPr>
          <w:rFonts w:hint="eastAsia"/>
          <w:color w:val="000000" w:themeColor="text1"/>
          <w:highlight w:val="none"/>
          <w:lang w:eastAsia="zh-CN"/>
          <w14:textFill>
            <w14:solidFill>
              <w14:schemeClr w14:val="tx1"/>
            </w14:solidFill>
          </w14:textFill>
        </w:rPr>
        <w:t>7</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提供支付款项金额的</w:t>
      </w:r>
      <w:r>
        <w:rPr>
          <w:rFonts w:hint="eastAsia"/>
          <w:color w:val="000000" w:themeColor="text1"/>
          <w:highlight w:val="none"/>
          <w14:textFill>
            <w14:solidFill>
              <w14:schemeClr w14:val="tx1"/>
            </w14:solidFill>
          </w14:textFill>
        </w:rPr>
        <w:t>增值税专用发票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货款，即¥</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，大写</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整</w:t>
      </w:r>
      <w:r>
        <w:rPr>
          <w:rFonts w:hint="eastAsia"/>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设备款项的3</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作为质保金，</w:t>
      </w:r>
      <w:r>
        <w:rPr>
          <w:rFonts w:hint="eastAsia"/>
          <w:color w:val="000000" w:themeColor="text1"/>
          <w:highlight w:val="none"/>
          <w14:textFill>
            <w14:solidFill>
              <w14:schemeClr w14:val="tx1"/>
            </w14:solidFill>
          </w14:textFill>
        </w:rPr>
        <w:t>质保金自验收合格之日起两年，</w:t>
      </w:r>
      <w:r>
        <w:rPr>
          <w:rFonts w:hint="eastAsia"/>
          <w:color w:val="000000" w:themeColor="text1"/>
          <w:highlight w:val="none"/>
          <w:lang w:val="en-US" w:eastAsia="zh-CN"/>
          <w14:textFill>
            <w14:solidFill>
              <w14:schemeClr w14:val="tx1"/>
            </w14:solidFill>
          </w14:textFill>
        </w:rPr>
        <w:t>并提供支付款项金额的</w:t>
      </w:r>
      <w:r>
        <w:rPr>
          <w:rFonts w:hint="eastAsia"/>
          <w:color w:val="000000" w:themeColor="text1"/>
          <w:highlight w:val="none"/>
          <w14:textFill>
            <w14:solidFill>
              <w14:schemeClr w14:val="tx1"/>
            </w14:solidFill>
          </w14:textFill>
        </w:rPr>
        <w:t>增值税专用发票</w:t>
      </w:r>
      <w:r>
        <w:rPr>
          <w:rFonts w:hint="eastAsia"/>
          <w:color w:val="000000" w:themeColor="text1"/>
          <w:highlight w:val="none"/>
          <w:lang w:val="en-US" w:eastAsia="zh-CN"/>
          <w14:textFill>
            <w14:solidFill>
              <w14:schemeClr w14:val="tx1"/>
            </w14:solidFill>
          </w14:textFill>
        </w:rPr>
        <w:t>后，</w:t>
      </w:r>
      <w:r>
        <w:rPr>
          <w:rFonts w:hint="eastAsia"/>
          <w:color w:val="000000" w:themeColor="text1"/>
          <w:highlight w:val="none"/>
          <w14:textFill>
            <w14:solidFill>
              <w14:schemeClr w14:val="tx1"/>
            </w14:solidFill>
          </w14:textFill>
        </w:rPr>
        <w:t>支付给乙方，即¥</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，大写</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元整</w:t>
      </w:r>
      <w:r>
        <w:rPr>
          <w:rFonts w:hint="eastAsia"/>
          <w:color w:val="000000" w:themeColor="text1"/>
          <w:highlight w:val="none"/>
          <w14:textFill>
            <w14:solidFill>
              <w14:schemeClr w14:val="tx1"/>
            </w14:solidFill>
          </w14:textFill>
        </w:rPr>
        <w:t>；</w:t>
      </w:r>
    </w:p>
    <w:p>
      <w:pPr>
        <w:spacing w:line="360" w:lineRule="auto"/>
        <w:rPr>
          <w:rFonts w:hint="default" w:eastAsia="宋体"/>
          <w:highlight w:val="none"/>
          <w:lang w:val="en-US" w:eastAsia="zh-CN"/>
        </w:rPr>
      </w:pPr>
      <w:r>
        <w:rPr>
          <w:rFonts w:hint="eastAsia" w:ascii="Calibri" w:hAnsi="Calibri" w:cs="Calibri"/>
          <w:highlight w:val="none"/>
          <w:lang w:val="en-US" w:eastAsia="zh-CN"/>
        </w:rPr>
        <w:t>4、运维费的支付方式：运维费分三次支付，第一次在运维满5年后支付运维费的5/13，第二次在运维满10年后支付运维费的5/13，剩余款项在运维期结束后一次性支付剩余价款。</w:t>
      </w:r>
    </w:p>
    <w:p>
      <w:pPr>
        <w:numPr>
          <w:ilvl w:val="0"/>
          <w:numId w:val="0"/>
        </w:num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乙方须向甲方出具合法有效完整的增值税专用发票</w:t>
      </w:r>
      <w:r>
        <w:rPr>
          <w:rFonts w:hint="eastAsia"/>
          <w:color w:val="000000" w:themeColor="text1"/>
          <w:highlight w:val="none"/>
          <w:lang w:val="en-US" w:eastAsia="zh-CN"/>
          <w14:textFill>
            <w14:solidFill>
              <w14:schemeClr w14:val="tx1"/>
            </w14:solidFill>
          </w14:textFill>
        </w:rPr>
        <w:t>后</w:t>
      </w:r>
      <w:r>
        <w:rPr>
          <w:rFonts w:hint="eastAsia"/>
          <w:color w:val="000000" w:themeColor="text1"/>
          <w:highlight w:val="none"/>
          <w14:textFill>
            <w14:solidFill>
              <w14:schemeClr w14:val="tx1"/>
            </w14:solidFill>
          </w14:textFill>
        </w:rPr>
        <w:t>进行支付结算。</w:t>
      </w:r>
    </w:p>
    <w:p>
      <w:pPr>
        <w:spacing w:line="360" w:lineRule="auto"/>
        <w:rPr>
          <w:highlight w:val="none"/>
        </w:rPr>
      </w:pPr>
      <w:r>
        <w:rPr>
          <w:rFonts w:hint="eastAsia" w:ascii="黑体" w:eastAsia="黑体" w:cs="黑体"/>
          <w:color w:val="000000"/>
          <w:highlight w:val="none"/>
        </w:rPr>
        <w:t xml:space="preserve">七、售后服务 </w:t>
      </w:r>
    </w:p>
    <w:p>
      <w:pPr>
        <w:spacing w:line="360" w:lineRule="auto"/>
        <w:rPr>
          <w:highlight w:val="none"/>
        </w:rPr>
      </w:pPr>
      <w:r>
        <w:rPr>
          <w:rFonts w:hint="eastAsia"/>
          <w:color w:val="000000"/>
          <w:highlight w:val="none"/>
        </w:rPr>
        <w:t>1、质保期为验收合格后13年；</w:t>
      </w:r>
    </w:p>
    <w:p>
      <w:pPr>
        <w:spacing w:line="360" w:lineRule="auto"/>
        <w:rPr>
          <w:highlight w:val="none"/>
        </w:rPr>
      </w:pPr>
      <w:r>
        <w:rPr>
          <w:rFonts w:hint="eastAsia"/>
          <w:color w:val="000000"/>
          <w:highlight w:val="none"/>
        </w:rPr>
        <w:t>2、乙方须指派专人负责与甲方联系售后服务事宜。</w:t>
      </w:r>
      <w:r>
        <w:rPr>
          <w:rFonts w:hint="eastAsia"/>
          <w:highlight w:val="none"/>
        </w:rPr>
        <w:t>（售后服务联系人：</w:t>
      </w:r>
      <w:r>
        <w:rPr>
          <w:rFonts w:hint="eastAsia"/>
          <w:highlight w:val="none"/>
          <w:u w:val="single"/>
        </w:rPr>
        <w:t xml:space="preserve"> </w:t>
      </w:r>
      <w:r>
        <w:rPr>
          <w:highlight w:val="none"/>
          <w:u w:val="single"/>
        </w:rPr>
        <w:t xml:space="preserve"> </w:t>
      </w:r>
      <w:r>
        <w:rPr>
          <w:rFonts w:hint="eastAsia"/>
          <w:highlight w:val="none"/>
        </w:rPr>
        <w:t>，电话</w:t>
      </w:r>
      <w:r>
        <w:rPr>
          <w:highlight w:val="none"/>
          <w:u w:val="single"/>
        </w:rPr>
        <w:t xml:space="preserve">      </w:t>
      </w:r>
      <w:r>
        <w:rPr>
          <w:rFonts w:hint="eastAsia"/>
          <w:highlight w:val="none"/>
        </w:rPr>
        <w:t>）</w:t>
      </w:r>
    </w:p>
    <w:p>
      <w:pPr>
        <w:spacing w:line="360" w:lineRule="auto"/>
        <w:rPr>
          <w:color w:val="000000"/>
          <w:highlight w:val="none"/>
        </w:rPr>
      </w:pPr>
      <w:r>
        <w:rPr>
          <w:rFonts w:hint="eastAsia"/>
          <w:color w:val="000000"/>
          <w:highlight w:val="none"/>
        </w:rPr>
        <w:t>(1） 乙方应执行甲方提出的售后服务要求，设备移交后，应做到每个月</w:t>
      </w:r>
      <w:r>
        <w:rPr>
          <w:rFonts w:hint="eastAsia"/>
          <w:color w:val="FF0000"/>
          <w:highlight w:val="none"/>
        </w:rPr>
        <w:t>一</w:t>
      </w:r>
      <w:r>
        <w:rPr>
          <w:rFonts w:hint="eastAsia"/>
          <w:color w:val="000000"/>
          <w:highlight w:val="none"/>
        </w:rPr>
        <w:t>次完成所供应设备的例行巡检工作并提供巡检记录至公司，接到抢修通知后</w:t>
      </w:r>
      <w:r>
        <w:rPr>
          <w:color w:val="000000"/>
          <w:highlight w:val="none"/>
          <w:u w:val="single"/>
        </w:rPr>
        <w:t xml:space="preserve">   </w:t>
      </w:r>
      <w:r>
        <w:rPr>
          <w:rFonts w:hint="eastAsia"/>
          <w:color w:val="000000"/>
          <w:highlight w:val="none"/>
        </w:rPr>
        <w:t>分钟内作出响应，</w:t>
      </w:r>
      <w:r>
        <w:rPr>
          <w:color w:val="000000"/>
          <w:highlight w:val="none"/>
          <w:u w:val="single"/>
        </w:rPr>
        <w:t xml:space="preserve">   </w:t>
      </w:r>
      <w:r>
        <w:rPr>
          <w:rFonts w:hint="eastAsia"/>
          <w:color w:val="000000"/>
          <w:highlight w:val="none"/>
        </w:rPr>
        <w:t>个小时内到达故障现场，高峰时段和偏远区域</w:t>
      </w:r>
      <w:r>
        <w:rPr>
          <w:color w:val="000000"/>
          <w:highlight w:val="none"/>
          <w:u w:val="single"/>
        </w:rPr>
        <w:t xml:space="preserve">   </w:t>
      </w:r>
      <w:r>
        <w:rPr>
          <w:rFonts w:hint="eastAsia"/>
          <w:color w:val="000000"/>
          <w:highlight w:val="none"/>
        </w:rPr>
        <w:t>个小时内到达故障现场，如不能根据上述时间节点履约，并由开发商提供书面形式的证明，从质保金中扣除5000元/次。非硬件损坏故障应在 2 小时内解决，特殊情况下适当延长维修时间；硬件损坏的故障在不影响正常供水条件下 24 小时内修复。若不能在 24 小时内解决，须提供同等性能、同等配置的设备替换，如不能根据上述时间节点履约，并由开发商提供书面形式的证明，从质保金中扣除5000元/次。在质保期内，与质保和维修相关的所有费用均由乙方负责。</w:t>
      </w:r>
    </w:p>
    <w:p>
      <w:pPr>
        <w:spacing w:line="360" w:lineRule="auto"/>
        <w:rPr>
          <w:color w:val="000000"/>
          <w:highlight w:val="none"/>
        </w:rPr>
      </w:pPr>
      <w:r>
        <w:rPr>
          <w:rFonts w:hint="eastAsia"/>
          <w:color w:val="000000"/>
          <w:highlight w:val="none"/>
        </w:rPr>
        <w:t>（2）乙方对合同中规定的设备，提供经调试、试运行、验收合格后，按招标文件或生产厂家承诺的质保期要求，在此期间，因产品质量不良而产生损坏或不能正常工作，乙方应免费维修至能正常工作，经维修不能正常工作的，须更换同等功能及质量的设备。</w:t>
      </w:r>
    </w:p>
    <w:p>
      <w:pPr>
        <w:spacing w:line="360" w:lineRule="auto"/>
        <w:rPr>
          <w:color w:val="000000"/>
          <w:highlight w:val="none"/>
        </w:rPr>
      </w:pPr>
      <w:r>
        <w:rPr>
          <w:rFonts w:hint="eastAsia"/>
          <w:color w:val="000000"/>
          <w:highlight w:val="none"/>
        </w:rPr>
        <w:t>（3）乙方须自行付费负责修理和更换任何由于设备自身的质量问题造成的损坏及故障。修好后，乙方需一式两份报告给采购人，包括故障原因，解决措施，完成修理所需时间及恢复正常运行周期。</w:t>
      </w:r>
    </w:p>
    <w:p>
      <w:pPr>
        <w:spacing w:line="360" w:lineRule="auto"/>
        <w:rPr>
          <w:color w:val="000000"/>
          <w:highlight w:val="none"/>
        </w:rPr>
      </w:pPr>
      <w:r>
        <w:rPr>
          <w:rFonts w:hint="eastAsia"/>
          <w:color w:val="000000"/>
          <w:highlight w:val="none"/>
        </w:rPr>
        <w:t>（4）整套系统必须确保 24 小时正常运行，既必须配备备用设施。</w:t>
      </w:r>
    </w:p>
    <w:p>
      <w:pPr>
        <w:spacing w:line="360" w:lineRule="auto"/>
        <w:rPr>
          <w:rFonts w:ascii="黑体" w:eastAsia="黑体" w:cs="黑体"/>
          <w:color w:val="000000"/>
          <w:highlight w:val="none"/>
        </w:rPr>
      </w:pPr>
      <w:r>
        <w:rPr>
          <w:rFonts w:hint="eastAsia"/>
          <w:color w:val="000000"/>
          <w:highlight w:val="none"/>
        </w:rPr>
        <w:t>（5）设备移交后，乙方除完成采购人规定的例行巡检、抢修等工作外，还应参加采购人组织的泵房设备故障应急演练，协助做好泵房的防汛抗台、防冻抗寒应急抢险等相关工作。</w:t>
      </w:r>
    </w:p>
    <w:p>
      <w:pPr>
        <w:spacing w:line="360" w:lineRule="auto"/>
        <w:rPr>
          <w:rFonts w:ascii="黑体" w:eastAsia="黑体" w:cs="黑体"/>
          <w:color w:val="000000"/>
          <w:highlight w:val="none"/>
        </w:rPr>
      </w:pPr>
    </w:p>
    <w:p>
      <w:pPr>
        <w:spacing w:line="360" w:lineRule="auto"/>
        <w:rPr>
          <w:highlight w:val="none"/>
        </w:rPr>
      </w:pPr>
      <w:r>
        <w:rPr>
          <w:rFonts w:hint="eastAsia" w:ascii="黑体" w:eastAsia="黑体" w:cs="黑体"/>
          <w:color w:val="000000"/>
          <w:highlight w:val="none"/>
        </w:rPr>
        <w:t xml:space="preserve">八、违约责任 </w:t>
      </w:r>
    </w:p>
    <w:p>
      <w:pPr>
        <w:spacing w:line="360" w:lineRule="auto"/>
        <w:rPr>
          <w:color w:val="000000"/>
          <w:highlight w:val="none"/>
        </w:rPr>
      </w:pPr>
      <w:r>
        <w:rPr>
          <w:rFonts w:hint="eastAsia"/>
          <w:color w:val="000000"/>
          <w:highlight w:val="none"/>
        </w:rPr>
        <w:t>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逾期交货（指超过</w:t>
      </w: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通知规定的时间交货到指定地点），每逾期一天，</w:t>
      </w: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向</w:t>
      </w: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支付</w:t>
      </w:r>
      <w:r>
        <w:rPr>
          <w:rFonts w:hint="eastAsia"/>
          <w:color w:val="000000" w:themeColor="text1"/>
          <w:highlight w:val="none"/>
          <w:lang w:val="en-US" w:eastAsia="zh-CN"/>
          <w14:textFill>
            <w14:solidFill>
              <w14:schemeClr w14:val="tx1"/>
            </w14:solidFill>
          </w14:textFill>
        </w:rPr>
        <w:t>合同总金额</w:t>
      </w:r>
      <w:r>
        <w:rPr>
          <w:color w:val="000000" w:themeColor="text1"/>
          <w:highlight w:val="none"/>
          <w14:textFill>
            <w14:solidFill>
              <w14:schemeClr w14:val="tx1"/>
            </w14:solidFill>
          </w14:textFill>
        </w:rPr>
        <w:t>3‰的违约金。</w:t>
      </w:r>
      <w:r>
        <w:rPr>
          <w:color w:val="000000" w:themeColor="text1"/>
          <w:highlight w:val="none"/>
          <w14:textFill>
            <w14:solidFill>
              <w14:schemeClr w14:val="tx1"/>
            </w14:solidFill>
          </w14:textFill>
        </w:rPr>
        <w:t>逾期交货超过7天，</w:t>
      </w: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可解除本合同</w:t>
      </w:r>
      <w:r>
        <w:rPr>
          <w:rFonts w:hint="eastAsia"/>
          <w:color w:val="000000" w:themeColor="text1"/>
          <w:highlight w:val="none"/>
          <w14:textFill>
            <w14:solidFill>
              <w14:schemeClr w14:val="tx1"/>
            </w14:solidFill>
          </w14:textFill>
        </w:rPr>
        <w:t>，所造成的经济损失、法律责任由乙方全部承担。</w:t>
      </w:r>
    </w:p>
    <w:p>
      <w:pPr>
        <w:spacing w:line="360" w:lineRule="auto"/>
        <w:rPr>
          <w:color w:val="000000"/>
          <w:highlight w:val="none"/>
        </w:rPr>
      </w:pPr>
      <w:r>
        <w:rPr>
          <w:rFonts w:hint="eastAsia"/>
          <w:color w:val="000000"/>
          <w:highlight w:val="none"/>
        </w:rPr>
        <w:t>2.</w:t>
      </w:r>
      <w:r>
        <w:rPr>
          <w:color w:val="000000"/>
          <w:highlight w:val="none"/>
        </w:rPr>
        <w:t>货物不能通过</w:t>
      </w:r>
      <w:r>
        <w:rPr>
          <w:rFonts w:hint="eastAsia"/>
          <w:color w:val="000000"/>
          <w:highlight w:val="none"/>
        </w:rPr>
        <w:t>甲方</w:t>
      </w:r>
      <w:r>
        <w:rPr>
          <w:color w:val="000000"/>
          <w:highlight w:val="none"/>
        </w:rPr>
        <w:t>验收的，视为</w:t>
      </w:r>
      <w:r>
        <w:rPr>
          <w:rFonts w:hint="eastAsia"/>
          <w:color w:val="000000"/>
          <w:highlight w:val="none"/>
        </w:rPr>
        <w:t>乙方</w:t>
      </w:r>
      <w:r>
        <w:rPr>
          <w:color w:val="000000"/>
          <w:highlight w:val="none"/>
        </w:rPr>
        <w:t>未交货，按验收合格的货物到达指定交货地点的时间确定是否逾期交货，并按本合同确定逾期到货责任。</w:t>
      </w:r>
    </w:p>
    <w:p>
      <w:pPr>
        <w:spacing w:line="360" w:lineRule="auto"/>
        <w:rPr>
          <w:color w:val="000000"/>
          <w:highlight w:val="none"/>
        </w:rPr>
      </w:pPr>
      <w:r>
        <w:rPr>
          <w:rFonts w:hint="eastAsia"/>
          <w:color w:val="000000"/>
          <w:highlight w:val="none"/>
        </w:rPr>
        <w:t>3.</w:t>
      </w:r>
      <w:r>
        <w:rPr>
          <w:color w:val="000000"/>
          <w:highlight w:val="none"/>
        </w:rPr>
        <w:t>货物存在质量问题的，</w:t>
      </w:r>
      <w:r>
        <w:rPr>
          <w:rFonts w:hint="eastAsia"/>
          <w:color w:val="000000"/>
          <w:highlight w:val="none"/>
        </w:rPr>
        <w:t>乙方</w:t>
      </w:r>
      <w:r>
        <w:rPr>
          <w:color w:val="000000"/>
          <w:highlight w:val="none"/>
        </w:rPr>
        <w:t>应立即按</w:t>
      </w:r>
      <w:r>
        <w:rPr>
          <w:rFonts w:hint="eastAsia"/>
          <w:color w:val="000000"/>
          <w:highlight w:val="none"/>
        </w:rPr>
        <w:t>甲方</w:t>
      </w:r>
      <w:r>
        <w:rPr>
          <w:color w:val="000000"/>
          <w:highlight w:val="none"/>
        </w:rPr>
        <w:t>要求无条件退货或换货，因此造成</w:t>
      </w:r>
      <w:r>
        <w:rPr>
          <w:rFonts w:hint="eastAsia"/>
          <w:color w:val="000000"/>
          <w:highlight w:val="none"/>
        </w:rPr>
        <w:t>甲方</w:t>
      </w:r>
      <w:r>
        <w:rPr>
          <w:color w:val="000000"/>
          <w:highlight w:val="none"/>
        </w:rPr>
        <w:t>或相关方损失的</w:t>
      </w:r>
      <w:r>
        <w:rPr>
          <w:rFonts w:hint="eastAsia"/>
          <w:color w:val="000000"/>
          <w:highlight w:val="none"/>
        </w:rPr>
        <w:t>乙方</w:t>
      </w:r>
      <w:r>
        <w:rPr>
          <w:color w:val="000000"/>
          <w:highlight w:val="none"/>
        </w:rPr>
        <w:t>还应赔偿；</w:t>
      </w:r>
      <w:r>
        <w:rPr>
          <w:rFonts w:hint="eastAsia"/>
          <w:color w:val="000000"/>
          <w:highlight w:val="none"/>
        </w:rPr>
        <w:t>甲方</w:t>
      </w:r>
      <w:r>
        <w:rPr>
          <w:color w:val="000000"/>
          <w:highlight w:val="none"/>
        </w:rPr>
        <w:t>还可解除本合同，已收货款</w:t>
      </w:r>
      <w:r>
        <w:rPr>
          <w:rFonts w:hint="eastAsia"/>
          <w:color w:val="000000"/>
          <w:highlight w:val="none"/>
        </w:rPr>
        <w:t>乙方</w:t>
      </w:r>
      <w:r>
        <w:rPr>
          <w:color w:val="000000"/>
          <w:highlight w:val="none"/>
        </w:rPr>
        <w:t>应退还，因此造成</w:t>
      </w:r>
      <w:r>
        <w:rPr>
          <w:rFonts w:hint="eastAsia"/>
          <w:color w:val="000000"/>
          <w:highlight w:val="none"/>
        </w:rPr>
        <w:t>甲方</w:t>
      </w:r>
      <w:r>
        <w:rPr>
          <w:color w:val="000000"/>
          <w:highlight w:val="none"/>
        </w:rPr>
        <w:t>或相关方损失的还应赔偿。</w:t>
      </w:r>
    </w:p>
    <w:p>
      <w:pPr>
        <w:spacing w:line="360" w:lineRule="auto"/>
        <w:rPr>
          <w:color w:val="000000"/>
          <w:highlight w:val="none"/>
        </w:rPr>
      </w:pPr>
      <w:r>
        <w:rPr>
          <w:rFonts w:hint="eastAsia"/>
          <w:color w:val="000000"/>
          <w:highlight w:val="none"/>
        </w:rPr>
        <w:t>4</w:t>
      </w:r>
      <w:r>
        <w:rPr>
          <w:color w:val="000000"/>
          <w:highlight w:val="none"/>
        </w:rPr>
        <w:t>. 因</w:t>
      </w:r>
      <w:r>
        <w:rPr>
          <w:rFonts w:hint="eastAsia"/>
          <w:color w:val="000000"/>
          <w:highlight w:val="none"/>
        </w:rPr>
        <w:t>乙方</w:t>
      </w:r>
      <w:r>
        <w:rPr>
          <w:color w:val="000000"/>
          <w:highlight w:val="none"/>
        </w:rPr>
        <w:t>原因导致</w:t>
      </w:r>
      <w:r>
        <w:rPr>
          <w:rFonts w:hint="eastAsia"/>
          <w:color w:val="000000"/>
          <w:highlight w:val="none"/>
        </w:rPr>
        <w:t>甲方</w:t>
      </w:r>
      <w:r>
        <w:rPr>
          <w:color w:val="000000"/>
          <w:highlight w:val="none"/>
        </w:rPr>
        <w:t>解除合同的，</w:t>
      </w:r>
      <w:r>
        <w:rPr>
          <w:rFonts w:hint="eastAsia"/>
          <w:color w:val="000000"/>
          <w:highlight w:val="none"/>
        </w:rPr>
        <w:t>乙方</w:t>
      </w:r>
      <w:r>
        <w:rPr>
          <w:color w:val="000000"/>
          <w:highlight w:val="none"/>
        </w:rPr>
        <w:t>除应返还</w:t>
      </w:r>
      <w:r>
        <w:rPr>
          <w:rFonts w:hint="eastAsia"/>
          <w:color w:val="000000"/>
          <w:highlight w:val="none"/>
        </w:rPr>
        <w:t>甲方</w:t>
      </w:r>
      <w:r>
        <w:rPr>
          <w:color w:val="000000"/>
          <w:highlight w:val="none"/>
        </w:rPr>
        <w:t>已支付该批次货物的全部货款外，</w:t>
      </w:r>
      <w:r>
        <w:rPr>
          <w:rFonts w:hint="eastAsia"/>
          <w:color w:val="000000"/>
          <w:highlight w:val="none"/>
        </w:rPr>
        <w:t>甲方</w:t>
      </w:r>
      <w:r>
        <w:rPr>
          <w:color w:val="000000"/>
          <w:highlight w:val="none"/>
        </w:rPr>
        <w:t>尚未支付的该批次货物的货款不再支付；乙方应向甲方支付合同总金额20%的违约金；因其违约导致</w:t>
      </w:r>
      <w:r>
        <w:rPr>
          <w:rFonts w:hint="eastAsia"/>
          <w:color w:val="000000"/>
          <w:highlight w:val="none"/>
        </w:rPr>
        <w:t>甲方</w:t>
      </w:r>
      <w:r>
        <w:rPr>
          <w:color w:val="000000"/>
          <w:highlight w:val="none"/>
        </w:rPr>
        <w:t>损失的，</w:t>
      </w:r>
      <w:r>
        <w:rPr>
          <w:rFonts w:hint="eastAsia"/>
          <w:color w:val="000000"/>
          <w:highlight w:val="none"/>
        </w:rPr>
        <w:t>乙方</w:t>
      </w:r>
      <w:r>
        <w:rPr>
          <w:color w:val="000000"/>
          <w:highlight w:val="none"/>
        </w:rPr>
        <w:t xml:space="preserve">还应赔偿，损失包括但不限于诉讼费、律师费、实现债权的交通费等。 </w:t>
      </w:r>
    </w:p>
    <w:p>
      <w:pPr>
        <w:spacing w:line="360" w:lineRule="auto"/>
        <w:rPr>
          <w:highlight w:val="none"/>
        </w:rPr>
      </w:pPr>
    </w:p>
    <w:p>
      <w:pPr>
        <w:spacing w:line="360" w:lineRule="auto"/>
        <w:rPr>
          <w:highlight w:val="none"/>
        </w:rPr>
      </w:pPr>
      <w:r>
        <w:rPr>
          <w:rFonts w:hint="eastAsia" w:ascii="黑体" w:eastAsia="黑体" w:cs="黑体"/>
          <w:color w:val="000000"/>
          <w:highlight w:val="none"/>
        </w:rPr>
        <w:t xml:space="preserve">九、争议解决办法 </w:t>
      </w:r>
    </w:p>
    <w:p>
      <w:pPr>
        <w:spacing w:line="360" w:lineRule="auto"/>
        <w:rPr>
          <w:highlight w:val="none"/>
        </w:rPr>
      </w:pPr>
      <w:r>
        <w:rPr>
          <w:rFonts w:hint="eastAsia"/>
          <w:color w:val="000000"/>
          <w:highlight w:val="none"/>
        </w:rPr>
        <w:t xml:space="preserve">1、因货物的质量问题发生争议，由质量技术监督部门或其指定的质量鉴定机构进行质量鉴定。货物符合标准的，鉴定费由甲方承担；货物不符合质量标准的，鉴定费由乙方承担。 </w:t>
      </w:r>
    </w:p>
    <w:p>
      <w:pPr>
        <w:spacing w:line="360" w:lineRule="auto"/>
        <w:rPr>
          <w:highlight w:val="none"/>
        </w:rPr>
      </w:pPr>
      <w:r>
        <w:rPr>
          <w:rFonts w:hint="eastAsia"/>
          <w:color w:val="000000"/>
          <w:highlight w:val="none"/>
        </w:rPr>
        <w:t xml:space="preserve">2、合同履行期间,若双方发生争议，可协商或由有关部门调解解决，协商或 </w:t>
      </w:r>
    </w:p>
    <w:p>
      <w:pPr>
        <w:spacing w:line="360" w:lineRule="auto"/>
        <w:rPr>
          <w:color w:val="000000"/>
          <w:highlight w:val="none"/>
        </w:rPr>
      </w:pPr>
      <w:r>
        <w:rPr>
          <w:rFonts w:hint="eastAsia"/>
          <w:color w:val="000000"/>
          <w:highlight w:val="none"/>
        </w:rPr>
        <w:t>调解不成的，任一方可向甲方所在地人民法院提起诉讼。</w:t>
      </w:r>
    </w:p>
    <w:p>
      <w:pPr>
        <w:spacing w:line="360" w:lineRule="auto"/>
        <w:rPr>
          <w:highlight w:val="none"/>
        </w:rPr>
      </w:pPr>
    </w:p>
    <w:p>
      <w:pPr>
        <w:spacing w:line="360" w:lineRule="auto"/>
        <w:rPr>
          <w:highlight w:val="none"/>
        </w:rPr>
      </w:pPr>
      <w:r>
        <w:rPr>
          <w:rFonts w:hint="eastAsia" w:ascii="黑体" w:eastAsia="黑体" w:cs="黑体"/>
          <w:color w:val="000000"/>
          <w:highlight w:val="none"/>
        </w:rPr>
        <w:t xml:space="preserve">十、其他 </w:t>
      </w:r>
    </w:p>
    <w:p>
      <w:pPr>
        <w:spacing w:line="360" w:lineRule="auto"/>
        <w:rPr>
          <w:highlight w:val="none"/>
        </w:rPr>
      </w:pPr>
      <w:r>
        <w:rPr>
          <w:rFonts w:hint="eastAsia"/>
          <w:color w:val="000000"/>
          <w:highlight w:val="none"/>
        </w:rPr>
        <w:t xml:space="preserve">1、如有未尽事宜，由双方依法订立补充合同。 </w:t>
      </w:r>
    </w:p>
    <w:p>
      <w:pPr>
        <w:spacing w:line="360" w:lineRule="auto"/>
        <w:rPr>
          <w:highlight w:val="none"/>
        </w:rPr>
      </w:pPr>
      <w:r>
        <w:rPr>
          <w:rFonts w:hint="eastAsia"/>
          <w:color w:val="000000"/>
          <w:highlight w:val="none"/>
        </w:rPr>
        <w:t xml:space="preserve">2、本合同一式五份，自双方签章之日起生效。甲方两份，乙方两份、采购 </w:t>
      </w:r>
    </w:p>
    <w:p>
      <w:pPr>
        <w:spacing w:line="360" w:lineRule="auto"/>
        <w:rPr>
          <w:color w:val="000000"/>
          <w:highlight w:val="none"/>
        </w:rPr>
      </w:pPr>
      <w:r>
        <w:rPr>
          <w:rFonts w:hint="eastAsia"/>
          <w:color w:val="000000"/>
          <w:highlight w:val="none"/>
        </w:rPr>
        <w:t xml:space="preserve">代理机构一份。 </w:t>
      </w:r>
    </w:p>
    <w:tbl>
      <w:tblPr>
        <w:tblStyle w:val="44"/>
        <w:tblpPr w:leftFromText="180" w:rightFromText="180" w:vertAnchor="text" w:horzAnchor="page" w:tblpX="1688" w:tblpY="714"/>
        <w:tblOverlap w:val="never"/>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4566" w:type="dxa"/>
          </w:tcPr>
          <w:p>
            <w:pPr>
              <w:widowControl w:val="0"/>
              <w:spacing w:line="360" w:lineRule="auto"/>
              <w:jc w:val="both"/>
              <w:rPr>
                <w:color w:val="000000"/>
                <w:highlight w:val="none"/>
              </w:rPr>
            </w:pPr>
          </w:p>
          <w:p>
            <w:pPr>
              <w:widowControl w:val="0"/>
              <w:spacing w:line="360" w:lineRule="auto"/>
              <w:jc w:val="both"/>
              <w:rPr>
                <w:color w:val="000000"/>
                <w:highlight w:val="none"/>
              </w:rPr>
            </w:pPr>
            <w:r>
              <w:rPr>
                <w:rFonts w:hint="eastAsia"/>
                <w:color w:val="000000"/>
                <w:highlight w:val="none"/>
              </w:rPr>
              <w:t>甲方：</w:t>
            </w:r>
            <w:r>
              <w:rPr>
                <w:rFonts w:hint="eastAsia"/>
                <w:color w:val="000000"/>
                <w:highlight w:val="none"/>
                <w:u w:val="single"/>
              </w:rPr>
              <w:t xml:space="preserve">什邡国润供水有限公司 </w:t>
            </w:r>
            <w:r>
              <w:rPr>
                <w:rFonts w:hint="eastAsia"/>
                <w:color w:val="000000"/>
                <w:highlight w:val="none"/>
              </w:rPr>
              <w:t>（盖章）</w:t>
            </w:r>
          </w:p>
          <w:p>
            <w:pPr>
              <w:widowControl w:val="0"/>
              <w:spacing w:line="360" w:lineRule="auto"/>
              <w:jc w:val="both"/>
              <w:rPr>
                <w:color w:val="000000"/>
                <w:highlight w:val="none"/>
              </w:rPr>
            </w:pPr>
          </w:p>
          <w:p>
            <w:pPr>
              <w:widowControl w:val="0"/>
              <w:spacing w:line="360" w:lineRule="auto"/>
              <w:jc w:val="both"/>
              <w:rPr>
                <w:highlight w:val="none"/>
              </w:rPr>
            </w:pPr>
            <w:r>
              <w:rPr>
                <w:rFonts w:hint="eastAsia"/>
                <w:color w:val="000000"/>
                <w:highlight w:val="none"/>
              </w:rPr>
              <w:t xml:space="preserve">法定代表人（授权代表）：            </w:t>
            </w:r>
          </w:p>
          <w:p>
            <w:pPr>
              <w:widowControl w:val="0"/>
              <w:spacing w:line="360" w:lineRule="auto"/>
              <w:jc w:val="both"/>
              <w:rPr>
                <w:highlight w:val="none"/>
              </w:rPr>
            </w:pPr>
            <w:r>
              <w:rPr>
                <w:rFonts w:hint="eastAsia"/>
                <w:color w:val="000000"/>
                <w:highlight w:val="none"/>
              </w:rPr>
              <w:t xml:space="preserve">地 址：四川省德阳市什邡市金河东路108号                             </w:t>
            </w:r>
          </w:p>
          <w:p>
            <w:pPr>
              <w:widowControl w:val="0"/>
              <w:spacing w:line="360" w:lineRule="auto"/>
              <w:jc w:val="both"/>
              <w:rPr>
                <w:color w:val="000000"/>
                <w:highlight w:val="none"/>
              </w:rPr>
            </w:pPr>
            <w:r>
              <w:rPr>
                <w:rFonts w:hint="eastAsia"/>
                <w:color w:val="000000"/>
                <w:highlight w:val="none"/>
              </w:rPr>
              <w:t>开户银行：中国银行什邡支行</w:t>
            </w:r>
          </w:p>
          <w:p>
            <w:pPr>
              <w:widowControl w:val="0"/>
              <w:spacing w:line="360" w:lineRule="auto"/>
              <w:jc w:val="both"/>
              <w:rPr>
                <w:color w:val="000000"/>
                <w:highlight w:val="none"/>
              </w:rPr>
            </w:pPr>
            <w:r>
              <w:rPr>
                <w:rFonts w:hint="eastAsia"/>
                <w:color w:val="000000"/>
                <w:highlight w:val="none"/>
              </w:rPr>
              <w:t xml:space="preserve">账号：122617763245                              </w:t>
            </w:r>
          </w:p>
          <w:p>
            <w:pPr>
              <w:widowControl w:val="0"/>
              <w:spacing w:line="360" w:lineRule="auto"/>
              <w:jc w:val="both"/>
              <w:rPr>
                <w:color w:val="000000"/>
                <w:highlight w:val="none"/>
              </w:rPr>
            </w:pPr>
            <w:r>
              <w:rPr>
                <w:rFonts w:hint="eastAsia"/>
                <w:color w:val="000000"/>
                <w:highlight w:val="none"/>
              </w:rPr>
              <w:t>电 话：0838-8103506</w:t>
            </w:r>
          </w:p>
          <w:p>
            <w:pPr>
              <w:widowControl w:val="0"/>
              <w:spacing w:line="360" w:lineRule="auto"/>
              <w:jc w:val="both"/>
              <w:rPr>
                <w:color w:val="000000"/>
                <w:highlight w:val="none"/>
              </w:rPr>
            </w:pPr>
            <w:r>
              <w:rPr>
                <w:rFonts w:hint="eastAsia"/>
                <w:color w:val="000000"/>
                <w:highlight w:val="none"/>
              </w:rPr>
              <w:t>传 真：</w:t>
            </w:r>
          </w:p>
          <w:p>
            <w:pPr>
              <w:widowControl w:val="0"/>
              <w:spacing w:line="360" w:lineRule="auto"/>
              <w:jc w:val="both"/>
              <w:rPr>
                <w:color w:val="000000"/>
                <w:highlight w:val="none"/>
              </w:rPr>
            </w:pPr>
            <w:r>
              <w:rPr>
                <w:rFonts w:hint="eastAsia"/>
                <w:color w:val="000000"/>
                <w:highlight w:val="none"/>
              </w:rPr>
              <w:t xml:space="preserve">签约日期：年  月  日 </w:t>
            </w:r>
          </w:p>
        </w:tc>
        <w:tc>
          <w:tcPr>
            <w:tcW w:w="4571" w:type="dxa"/>
          </w:tcPr>
          <w:p>
            <w:pPr>
              <w:widowControl w:val="0"/>
              <w:spacing w:line="360" w:lineRule="auto"/>
              <w:jc w:val="both"/>
              <w:rPr>
                <w:color w:val="000000"/>
                <w:highlight w:val="none"/>
              </w:rPr>
            </w:pPr>
          </w:p>
          <w:p>
            <w:pPr>
              <w:widowControl w:val="0"/>
              <w:spacing w:line="360" w:lineRule="auto"/>
              <w:jc w:val="both"/>
              <w:rPr>
                <w:color w:val="000000"/>
                <w:highlight w:val="none"/>
              </w:rPr>
            </w:pPr>
            <w:r>
              <w:rPr>
                <w:rFonts w:hint="eastAsia"/>
                <w:color w:val="000000"/>
                <w:highlight w:val="none"/>
              </w:rPr>
              <w:t xml:space="preserve">乙方： </w:t>
            </w:r>
          </w:p>
          <w:p>
            <w:pPr>
              <w:widowControl w:val="0"/>
              <w:spacing w:line="360" w:lineRule="auto"/>
              <w:jc w:val="both"/>
              <w:rPr>
                <w:color w:val="000000"/>
                <w:highlight w:val="none"/>
              </w:rPr>
            </w:pPr>
          </w:p>
          <w:p>
            <w:pPr>
              <w:widowControl w:val="0"/>
              <w:spacing w:line="360" w:lineRule="auto"/>
              <w:jc w:val="both"/>
              <w:rPr>
                <w:color w:val="000000"/>
                <w:highlight w:val="none"/>
              </w:rPr>
            </w:pPr>
            <w:r>
              <w:rPr>
                <w:rFonts w:hint="eastAsia"/>
                <w:color w:val="000000"/>
                <w:highlight w:val="none"/>
              </w:rPr>
              <w:t>法定代表人（授权代表）：</w:t>
            </w:r>
          </w:p>
          <w:p>
            <w:pPr>
              <w:widowControl w:val="0"/>
              <w:spacing w:line="360" w:lineRule="auto"/>
              <w:jc w:val="both"/>
              <w:rPr>
                <w:color w:val="000000"/>
                <w:highlight w:val="none"/>
              </w:rPr>
            </w:pPr>
            <w:r>
              <w:rPr>
                <w:rFonts w:hint="eastAsia"/>
                <w:color w:val="000000"/>
                <w:highlight w:val="none"/>
              </w:rPr>
              <w:t xml:space="preserve">地 址： </w:t>
            </w:r>
          </w:p>
          <w:p>
            <w:pPr>
              <w:widowControl w:val="0"/>
              <w:spacing w:line="360" w:lineRule="auto"/>
              <w:jc w:val="both"/>
              <w:rPr>
                <w:color w:val="000000"/>
                <w:highlight w:val="none"/>
              </w:rPr>
            </w:pPr>
            <w:r>
              <w:rPr>
                <w:rFonts w:hint="eastAsia"/>
                <w:color w:val="000000"/>
                <w:highlight w:val="none"/>
              </w:rPr>
              <w:t xml:space="preserve">账 号：                           </w:t>
            </w:r>
          </w:p>
          <w:p>
            <w:pPr>
              <w:widowControl w:val="0"/>
              <w:spacing w:line="360" w:lineRule="auto"/>
              <w:jc w:val="both"/>
              <w:rPr>
                <w:color w:val="000000"/>
                <w:highlight w:val="none"/>
              </w:rPr>
            </w:pPr>
            <w:r>
              <w:rPr>
                <w:rFonts w:hint="eastAsia"/>
                <w:color w:val="000000"/>
                <w:highlight w:val="none"/>
              </w:rPr>
              <w:t>电 话：</w:t>
            </w:r>
          </w:p>
          <w:p>
            <w:pPr>
              <w:widowControl w:val="0"/>
              <w:spacing w:line="360" w:lineRule="auto"/>
              <w:jc w:val="both"/>
              <w:rPr>
                <w:color w:val="000000"/>
                <w:highlight w:val="none"/>
              </w:rPr>
            </w:pPr>
            <w:r>
              <w:rPr>
                <w:rFonts w:hint="eastAsia"/>
                <w:color w:val="000000"/>
                <w:highlight w:val="none"/>
              </w:rPr>
              <w:t>传 真：</w:t>
            </w:r>
          </w:p>
          <w:p>
            <w:pPr>
              <w:widowControl w:val="0"/>
              <w:spacing w:line="360" w:lineRule="auto"/>
              <w:jc w:val="both"/>
              <w:rPr>
                <w:color w:val="000000"/>
                <w:highlight w:val="none"/>
              </w:rPr>
            </w:pPr>
            <w:r>
              <w:rPr>
                <w:rFonts w:hint="eastAsia"/>
                <w:color w:val="000000"/>
                <w:highlight w:val="none"/>
              </w:rPr>
              <w:t xml:space="preserve">签约日期： 年  月   日 </w:t>
            </w:r>
          </w:p>
        </w:tc>
      </w:tr>
    </w:tbl>
    <w:p>
      <w:pPr>
        <w:spacing w:line="360" w:lineRule="auto"/>
        <w:rPr>
          <w:highlight w:val="none"/>
        </w:rPr>
        <w:sectPr>
          <w:headerReference r:id="rId11" w:type="default"/>
          <w:footerReference r:id="rId12" w:type="default"/>
          <w:pgSz w:w="11906" w:h="16838"/>
          <w:pgMar w:top="1440" w:right="1800" w:bottom="1440" w:left="1800" w:header="851" w:footer="992" w:gutter="0"/>
          <w:cols w:space="425" w:num="1"/>
          <w:docGrid w:type="lines" w:linePitch="312" w:charSpace="0"/>
        </w:sectPr>
      </w:pPr>
      <w:r>
        <w:rPr>
          <w:rFonts w:hint="eastAsia"/>
          <w:highlight w:val="none"/>
        </w:rPr>
        <w:t>本页为签订页，无正文</w:t>
      </w:r>
    </w:p>
    <w:p>
      <w:pPr>
        <w:spacing w:line="360" w:lineRule="auto"/>
        <w:rPr>
          <w:highlight w:val="none"/>
        </w:rPr>
      </w:pPr>
      <w:r>
        <w:rPr>
          <w:rFonts w:hint="eastAsia"/>
          <w:highlight w:val="none"/>
        </w:rPr>
        <w:t>附件：配置明细表</w:t>
      </w:r>
    </w:p>
    <w:p>
      <w:pPr>
        <w:spacing w:line="360" w:lineRule="auto"/>
        <w:rPr>
          <w:highlight w:val="none"/>
        </w:rPr>
      </w:pPr>
      <w:bookmarkStart w:id="293" w:name="_Toc72001352"/>
      <w:bookmarkStart w:id="294" w:name="_Toc51143355"/>
      <w:bookmarkStart w:id="295" w:name="_Toc88662560"/>
      <w:r>
        <w:rPr>
          <w:rFonts w:hint="eastAsia"/>
          <w:highlight w:val="none"/>
        </w:rPr>
        <w:t>1、高区变频成套恒压供水设备配置清单</w:t>
      </w:r>
      <w:bookmarkEnd w:id="293"/>
      <w:bookmarkEnd w:id="294"/>
      <w:bookmarkEnd w:id="295"/>
    </w:p>
    <w:tbl>
      <w:tblPr>
        <w:tblStyle w:val="43"/>
        <w:tblW w:w="8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3"/>
        <w:gridCol w:w="3170"/>
        <w:gridCol w:w="874"/>
        <w:gridCol w:w="577"/>
        <w:gridCol w:w="66"/>
        <w:gridCol w:w="485"/>
        <w:gridCol w:w="38"/>
        <w:gridCol w:w="37"/>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名称</w:t>
            </w:r>
          </w:p>
        </w:tc>
        <w:tc>
          <w:tcPr>
            <w:tcW w:w="3170"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型号及参数说明</w:t>
            </w:r>
          </w:p>
        </w:tc>
        <w:tc>
          <w:tcPr>
            <w:tcW w:w="874"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材质</w:t>
            </w:r>
          </w:p>
        </w:tc>
        <w:tc>
          <w:tcPr>
            <w:tcW w:w="577"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单位</w:t>
            </w:r>
          </w:p>
        </w:tc>
        <w:tc>
          <w:tcPr>
            <w:tcW w:w="551" w:type="dxa"/>
            <w:gridSpan w:val="2"/>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数量</w:t>
            </w:r>
          </w:p>
        </w:tc>
        <w:tc>
          <w:tcPr>
            <w:tcW w:w="1887" w:type="dxa"/>
            <w:gridSpan w:val="3"/>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不锈钢水箱箱体</w:t>
            </w:r>
          </w:p>
        </w:tc>
        <w:tc>
          <w:tcPr>
            <w:tcW w:w="3170" w:type="dxa"/>
            <w:tcBorders>
              <w:bottom w:val="single" w:color="auto" w:sz="4" w:space="0"/>
            </w:tcBorders>
            <w:shd w:val="clear" w:color="auto" w:fill="FFFFFF"/>
            <w:vAlign w:val="center"/>
          </w:tcPr>
          <w:p>
            <w:pPr>
              <w:spacing w:line="360" w:lineRule="auto"/>
              <w:rPr>
                <w:sz w:val="18"/>
                <w:szCs w:val="18"/>
                <w:highlight w:val="none"/>
              </w:rPr>
            </w:pPr>
            <w:r>
              <w:rPr>
                <w:sz w:val="18"/>
                <w:szCs w:val="18"/>
                <w:highlight w:val="none"/>
              </w:rPr>
              <w:t>45</w:t>
            </w:r>
            <w:r>
              <w:rPr>
                <w:rFonts w:hint="eastAsia"/>
                <w:sz w:val="18"/>
                <w:szCs w:val="18"/>
                <w:highlight w:val="none"/>
              </w:rPr>
              <w:t>00*</w:t>
            </w:r>
            <w:r>
              <w:rPr>
                <w:sz w:val="18"/>
                <w:szCs w:val="18"/>
                <w:highlight w:val="none"/>
              </w:rPr>
              <w:t>30</w:t>
            </w:r>
            <w:r>
              <w:rPr>
                <w:rFonts w:hint="eastAsia"/>
                <w:sz w:val="18"/>
                <w:szCs w:val="18"/>
                <w:highlight w:val="none"/>
              </w:rPr>
              <w:t>00*</w:t>
            </w:r>
            <w:r>
              <w:rPr>
                <w:sz w:val="18"/>
                <w:szCs w:val="18"/>
                <w:highlight w:val="none"/>
              </w:rPr>
              <w:t>20</w:t>
            </w:r>
            <w:r>
              <w:rPr>
                <w:rFonts w:hint="eastAsia"/>
                <w:sz w:val="18"/>
                <w:szCs w:val="18"/>
                <w:highlight w:val="none"/>
              </w:rPr>
              <w:t>00mm，容积</w:t>
            </w:r>
            <w:r>
              <w:rPr>
                <w:sz w:val="18"/>
                <w:szCs w:val="18"/>
                <w:highlight w:val="none"/>
              </w:rPr>
              <w:t>27</w:t>
            </w:r>
            <w:r>
              <w:rPr>
                <w:rFonts w:hint="eastAsia"/>
                <w:sz w:val="18"/>
                <w:szCs w:val="18"/>
                <w:highlight w:val="none"/>
              </w:rPr>
              <w:t>m³</w:t>
            </w:r>
          </w:p>
        </w:tc>
        <w:tc>
          <w:tcPr>
            <w:tcW w:w="874" w:type="dxa"/>
            <w:vMerge w:val="restart"/>
            <w:shd w:val="clear" w:color="auto" w:fill="FFFFFF"/>
            <w:vAlign w:val="center"/>
          </w:tcPr>
          <w:p>
            <w:pPr>
              <w:spacing w:line="360" w:lineRule="auto"/>
              <w:rPr>
                <w:sz w:val="18"/>
                <w:szCs w:val="18"/>
                <w:highlight w:val="none"/>
              </w:rPr>
            </w:pP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shd w:val="clear" w:color="auto" w:fill="FFFFFF"/>
            <w:vAlign w:val="center"/>
          </w:tcPr>
          <w:p>
            <w:pPr>
              <w:spacing w:line="360" w:lineRule="auto"/>
              <w:rPr>
                <w:sz w:val="18"/>
                <w:szCs w:val="18"/>
                <w:highlight w:val="none"/>
              </w:rPr>
            </w:pPr>
            <w:r>
              <w:rPr>
                <w:rFonts w:hint="eastAsia"/>
                <w:sz w:val="18"/>
                <w:szCs w:val="18"/>
                <w:highlight w:val="none"/>
              </w:rPr>
              <w:t>水箱厚度满足国家标准，现场组焊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过滤式呼吸帽</w:t>
            </w:r>
          </w:p>
        </w:tc>
        <w:tc>
          <w:tcPr>
            <w:tcW w:w="3170" w:type="dxa"/>
            <w:tcBorders>
              <w:bottom w:val="single" w:color="auto" w:sz="4" w:space="0"/>
            </w:tcBorders>
            <w:shd w:val="clear" w:color="auto" w:fill="FFFFFF"/>
            <w:vAlign w:val="center"/>
          </w:tcPr>
          <w:p>
            <w:pPr>
              <w:spacing w:line="360" w:lineRule="auto"/>
              <w:rPr>
                <w:color w:val="FF0000"/>
                <w:sz w:val="18"/>
                <w:szCs w:val="18"/>
                <w:highlight w:val="none"/>
              </w:rPr>
            </w:pPr>
            <w:r>
              <w:rPr>
                <w:rFonts w:hint="eastAsia"/>
                <w:sz w:val="18"/>
                <w:szCs w:val="18"/>
                <w:highlight w:val="none"/>
              </w:rPr>
              <w:t>内衬活性炭过滤装置</w:t>
            </w:r>
          </w:p>
        </w:tc>
        <w:tc>
          <w:tcPr>
            <w:tcW w:w="874" w:type="dxa"/>
            <w:vMerge w:val="continue"/>
            <w:shd w:val="clear" w:color="auto" w:fill="FFFFFF"/>
            <w:vAlign w:val="center"/>
          </w:tcPr>
          <w:p>
            <w:pPr>
              <w:spacing w:line="360" w:lineRule="auto"/>
              <w:rPr>
                <w:sz w:val="18"/>
                <w:szCs w:val="18"/>
                <w:highlight w:val="none"/>
              </w:rPr>
            </w:pP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vMerge w:val="restart"/>
            <w:shd w:val="clear" w:color="auto" w:fill="FFFFFF"/>
            <w:vAlign w:val="center"/>
          </w:tcPr>
          <w:p>
            <w:pPr>
              <w:spacing w:line="360" w:lineRule="auto"/>
              <w:rPr>
                <w:sz w:val="18"/>
                <w:szCs w:val="18"/>
                <w:highlight w:val="none"/>
              </w:rPr>
            </w:pPr>
            <w:r>
              <w:rPr>
                <w:rFonts w:hint="eastAsia"/>
                <w:sz w:val="18"/>
                <w:szCs w:val="18"/>
                <w:highlight w:val="none"/>
              </w:rPr>
              <w:t>水箱环保附件，确保水质无二次污染，利于清洗维护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集污式放空管</w:t>
            </w:r>
          </w:p>
        </w:tc>
        <w:tc>
          <w:tcPr>
            <w:tcW w:w="3170" w:type="dxa"/>
            <w:tcBorders>
              <w:bottom w:val="single" w:color="auto" w:sz="4" w:space="0"/>
            </w:tcBorders>
            <w:shd w:val="clear" w:color="auto" w:fill="FFFFFF"/>
            <w:vAlign w:val="center"/>
          </w:tcPr>
          <w:p>
            <w:pPr>
              <w:spacing w:line="360" w:lineRule="auto"/>
              <w:rPr>
                <w:sz w:val="18"/>
                <w:szCs w:val="18"/>
                <w:highlight w:val="none"/>
              </w:rPr>
            </w:pPr>
            <w:r>
              <w:rPr>
                <w:rFonts w:hint="eastAsia"/>
                <w:sz w:val="18"/>
                <w:szCs w:val="18"/>
                <w:highlight w:val="none"/>
              </w:rPr>
              <w:t>DN</w:t>
            </w:r>
            <w:r>
              <w:rPr>
                <w:sz w:val="18"/>
                <w:szCs w:val="18"/>
                <w:highlight w:val="none"/>
              </w:rPr>
              <w:t>80</w:t>
            </w:r>
            <w:r>
              <w:rPr>
                <w:rFonts w:hint="eastAsia"/>
                <w:sz w:val="18"/>
                <w:szCs w:val="18"/>
                <w:highlight w:val="none"/>
              </w:rPr>
              <w:t>，安装于水箱底部集污口</w:t>
            </w:r>
          </w:p>
        </w:tc>
        <w:tc>
          <w:tcPr>
            <w:tcW w:w="874" w:type="dxa"/>
            <w:vMerge w:val="continue"/>
            <w:shd w:val="clear" w:color="auto" w:fill="FFFFFF"/>
            <w:vAlign w:val="center"/>
          </w:tcPr>
          <w:p>
            <w:pPr>
              <w:spacing w:line="360" w:lineRule="auto"/>
              <w:rPr>
                <w:sz w:val="18"/>
                <w:szCs w:val="18"/>
                <w:highlight w:val="none"/>
              </w:rPr>
            </w:pP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vMerge w:val="continue"/>
            <w:shd w:val="clear" w:color="auto" w:fill="FFFFFF"/>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空气隔断溢流管</w:t>
            </w:r>
          </w:p>
        </w:tc>
        <w:tc>
          <w:tcPr>
            <w:tcW w:w="3170" w:type="dxa"/>
            <w:tcBorders>
              <w:bottom w:val="single" w:color="auto" w:sz="4" w:space="0"/>
            </w:tcBorders>
            <w:shd w:val="clear" w:color="auto" w:fill="FFFFFF"/>
            <w:vAlign w:val="center"/>
          </w:tcPr>
          <w:p>
            <w:pPr>
              <w:spacing w:line="360" w:lineRule="auto"/>
              <w:rPr>
                <w:color w:val="FF0000"/>
                <w:sz w:val="18"/>
                <w:szCs w:val="18"/>
                <w:highlight w:val="none"/>
              </w:rPr>
            </w:pPr>
            <w:r>
              <w:rPr>
                <w:rFonts w:hint="eastAsia"/>
                <w:sz w:val="18"/>
                <w:szCs w:val="18"/>
                <w:highlight w:val="none"/>
              </w:rPr>
              <w:t>DN1</w:t>
            </w:r>
            <w:r>
              <w:rPr>
                <w:sz w:val="18"/>
                <w:szCs w:val="18"/>
                <w:highlight w:val="none"/>
              </w:rPr>
              <w:t>5</w:t>
            </w:r>
            <w:r>
              <w:rPr>
                <w:rFonts w:hint="eastAsia"/>
                <w:sz w:val="18"/>
                <w:szCs w:val="18"/>
                <w:highlight w:val="none"/>
              </w:rPr>
              <w:t>0，中部空气隔断，末端加装18目防虫网</w:t>
            </w:r>
          </w:p>
        </w:tc>
        <w:tc>
          <w:tcPr>
            <w:tcW w:w="874" w:type="dxa"/>
            <w:vMerge w:val="continue"/>
            <w:shd w:val="clear" w:color="auto" w:fill="FFFFFF"/>
            <w:vAlign w:val="center"/>
          </w:tcPr>
          <w:p>
            <w:pPr>
              <w:spacing w:line="360" w:lineRule="auto"/>
              <w:rPr>
                <w:sz w:val="18"/>
                <w:szCs w:val="18"/>
                <w:highlight w:val="none"/>
              </w:rPr>
            </w:pP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vMerge w:val="continue"/>
            <w:shd w:val="clear" w:color="auto" w:fill="FFFFFF"/>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方形密封人孔</w:t>
            </w:r>
          </w:p>
        </w:tc>
        <w:tc>
          <w:tcPr>
            <w:tcW w:w="3170" w:type="dxa"/>
            <w:tcBorders>
              <w:bottom w:val="single" w:color="auto" w:sz="4" w:space="0"/>
            </w:tcBorders>
            <w:shd w:val="clear" w:color="auto" w:fill="FFFFFF"/>
            <w:vAlign w:val="center"/>
          </w:tcPr>
          <w:p>
            <w:pPr>
              <w:spacing w:line="360" w:lineRule="auto"/>
              <w:rPr>
                <w:sz w:val="18"/>
                <w:szCs w:val="18"/>
                <w:highlight w:val="none"/>
              </w:rPr>
            </w:pPr>
            <w:r>
              <w:rPr>
                <w:rFonts w:hint="eastAsia"/>
                <w:sz w:val="18"/>
                <w:szCs w:val="18"/>
                <w:highlight w:val="none"/>
              </w:rPr>
              <w:t>600*600mm，带锁扣</w:t>
            </w:r>
          </w:p>
        </w:tc>
        <w:tc>
          <w:tcPr>
            <w:tcW w:w="874" w:type="dxa"/>
            <w:vMerge w:val="continue"/>
            <w:shd w:val="clear" w:color="auto" w:fill="FFFFFF"/>
            <w:vAlign w:val="center"/>
          </w:tcPr>
          <w:p>
            <w:pPr>
              <w:spacing w:line="360" w:lineRule="auto"/>
              <w:rPr>
                <w:sz w:val="18"/>
                <w:szCs w:val="18"/>
                <w:highlight w:val="none"/>
              </w:rPr>
            </w:pP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vMerge w:val="continue"/>
            <w:shd w:val="clear" w:color="auto" w:fill="FFFFFF"/>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内外爬梯</w:t>
            </w:r>
          </w:p>
        </w:tc>
        <w:tc>
          <w:tcPr>
            <w:tcW w:w="3170" w:type="dxa"/>
            <w:tcBorders>
              <w:bottom w:val="single" w:color="auto" w:sz="4" w:space="0"/>
            </w:tcBorders>
            <w:shd w:val="clear" w:color="auto" w:fill="FFFFFF"/>
            <w:vAlign w:val="center"/>
          </w:tcPr>
          <w:p>
            <w:pPr>
              <w:spacing w:line="360" w:lineRule="auto"/>
              <w:rPr>
                <w:color w:val="FF0000"/>
                <w:sz w:val="18"/>
                <w:szCs w:val="18"/>
                <w:highlight w:val="none"/>
              </w:rPr>
            </w:pPr>
            <w:r>
              <w:rPr>
                <w:rFonts w:hint="eastAsia"/>
                <w:sz w:val="18"/>
                <w:szCs w:val="18"/>
                <w:highlight w:val="none"/>
              </w:rPr>
              <w:t>20*20方管组焊为一个整体</w:t>
            </w:r>
          </w:p>
        </w:tc>
        <w:tc>
          <w:tcPr>
            <w:tcW w:w="874" w:type="dxa"/>
            <w:vMerge w:val="continue"/>
            <w:shd w:val="clear" w:color="auto" w:fill="FFFFFF"/>
            <w:vAlign w:val="center"/>
          </w:tcPr>
          <w:p>
            <w:pPr>
              <w:spacing w:line="360" w:lineRule="auto"/>
              <w:rPr>
                <w:sz w:val="18"/>
                <w:szCs w:val="18"/>
                <w:highlight w:val="none"/>
              </w:rPr>
            </w:pP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4</w:t>
            </w:r>
          </w:p>
        </w:tc>
        <w:tc>
          <w:tcPr>
            <w:tcW w:w="1887" w:type="dxa"/>
            <w:gridSpan w:val="3"/>
            <w:vMerge w:val="continue"/>
            <w:shd w:val="clear" w:color="auto" w:fill="FFFFFF"/>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exact"/>
          <w:jc w:val="center"/>
        </w:trPr>
        <w:tc>
          <w:tcPr>
            <w:tcW w:w="1893" w:type="dxa"/>
            <w:tcBorders>
              <w:bottom w:val="single" w:color="000000" w:sz="4" w:space="0"/>
            </w:tcBorders>
            <w:shd w:val="clear" w:color="auto" w:fill="FFFFFF"/>
            <w:vAlign w:val="center"/>
          </w:tcPr>
          <w:p>
            <w:pPr>
              <w:spacing w:line="360" w:lineRule="auto"/>
              <w:rPr>
                <w:sz w:val="18"/>
                <w:szCs w:val="18"/>
                <w:highlight w:val="none"/>
              </w:rPr>
            </w:pPr>
            <w:r>
              <w:rPr>
                <w:rFonts w:hint="eastAsia"/>
                <w:sz w:val="18"/>
                <w:szCs w:val="18"/>
                <w:highlight w:val="none"/>
              </w:rPr>
              <w:t>水箱错峰进水蓄水装置</w:t>
            </w:r>
          </w:p>
        </w:tc>
        <w:tc>
          <w:tcPr>
            <w:tcW w:w="3170" w:type="dxa"/>
            <w:tcBorders>
              <w:bottom w:val="single" w:color="auto" w:sz="4" w:space="0"/>
            </w:tcBorders>
            <w:shd w:val="clear" w:color="auto" w:fill="FFFFFF"/>
            <w:vAlign w:val="center"/>
          </w:tcPr>
          <w:p>
            <w:pPr>
              <w:spacing w:line="360" w:lineRule="auto"/>
              <w:rPr>
                <w:sz w:val="18"/>
                <w:szCs w:val="18"/>
                <w:highlight w:val="none"/>
              </w:rPr>
            </w:pPr>
            <w:r>
              <w:rPr>
                <w:rFonts w:hint="eastAsia"/>
                <w:sz w:val="18"/>
                <w:szCs w:val="18"/>
                <w:highlight w:val="none"/>
              </w:rPr>
              <w:t>DN</w:t>
            </w:r>
            <w:r>
              <w:rPr>
                <w:sz w:val="18"/>
                <w:szCs w:val="18"/>
                <w:highlight w:val="none"/>
              </w:rPr>
              <w:t>8</w:t>
            </w:r>
            <w:r>
              <w:rPr>
                <w:rFonts w:hint="eastAsia"/>
                <w:sz w:val="18"/>
                <w:szCs w:val="18"/>
                <w:highlight w:val="none"/>
              </w:rPr>
              <w:t>0，根据用水时段及水箱液位自动控制水箱进水，避免水箱死水层的产生</w:t>
            </w:r>
          </w:p>
        </w:tc>
        <w:tc>
          <w:tcPr>
            <w:tcW w:w="874" w:type="dxa"/>
            <w:shd w:val="clear" w:color="auto" w:fill="FFFFFF"/>
            <w:vAlign w:val="center"/>
          </w:tcPr>
          <w:p>
            <w:pPr>
              <w:spacing w:line="360" w:lineRule="auto"/>
              <w:rPr>
                <w:sz w:val="18"/>
                <w:szCs w:val="18"/>
                <w:highlight w:val="none"/>
              </w:rPr>
            </w:pPr>
            <w:r>
              <w:rPr>
                <w:rFonts w:hint="eastAsia"/>
                <w:sz w:val="18"/>
                <w:szCs w:val="18"/>
                <w:highlight w:val="none"/>
              </w:rPr>
              <w:t>S30408</w:t>
            </w: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shd w:val="clear" w:color="auto" w:fill="FFFFFF"/>
            <w:vAlign w:val="center"/>
          </w:tcPr>
          <w:p>
            <w:pPr>
              <w:spacing w:line="360" w:lineRule="auto"/>
              <w:rPr>
                <w:sz w:val="18"/>
                <w:szCs w:val="18"/>
                <w:highlight w:val="none"/>
              </w:rPr>
            </w:pPr>
            <w:r>
              <w:rPr>
                <w:rFonts w:hint="eastAsia"/>
                <w:sz w:val="18"/>
                <w:szCs w:val="18"/>
                <w:highlight w:val="none"/>
              </w:rPr>
              <w:t>水箱水强制循环，保证水质鲜活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tcW w:w="1893" w:type="dxa"/>
            <w:shd w:val="clear" w:color="auto" w:fill="FFFFFF"/>
            <w:vAlign w:val="center"/>
          </w:tcPr>
          <w:p>
            <w:pPr>
              <w:spacing w:line="360" w:lineRule="auto"/>
              <w:rPr>
                <w:sz w:val="18"/>
                <w:szCs w:val="18"/>
                <w:highlight w:val="none"/>
              </w:rPr>
            </w:pPr>
            <w:r>
              <w:rPr>
                <w:rFonts w:hint="eastAsia"/>
                <w:sz w:val="18"/>
                <w:szCs w:val="18"/>
                <w:highlight w:val="none"/>
              </w:rPr>
              <w:t>自洁式消毒装置</w:t>
            </w:r>
          </w:p>
        </w:tc>
        <w:tc>
          <w:tcPr>
            <w:tcW w:w="3170" w:type="dxa"/>
            <w:tcBorders>
              <w:bottom w:val="single" w:color="auto" w:sz="4" w:space="0"/>
            </w:tcBorders>
            <w:shd w:val="clear" w:color="auto" w:fill="FFFFFF"/>
            <w:vAlign w:val="center"/>
          </w:tcPr>
          <w:p>
            <w:pPr>
              <w:spacing w:line="360" w:lineRule="auto"/>
              <w:rPr>
                <w:sz w:val="18"/>
                <w:szCs w:val="18"/>
                <w:highlight w:val="none"/>
              </w:rPr>
            </w:pPr>
            <w:r>
              <w:rPr>
                <w:rFonts w:hint="eastAsia"/>
                <w:sz w:val="18"/>
                <w:szCs w:val="18"/>
                <w:highlight w:val="none"/>
              </w:rPr>
              <w:t>WTS-</w:t>
            </w:r>
            <w:r>
              <w:rPr>
                <w:sz w:val="18"/>
                <w:szCs w:val="18"/>
                <w:highlight w:val="none"/>
              </w:rPr>
              <w:t>2</w:t>
            </w:r>
            <w:r>
              <w:rPr>
                <w:rFonts w:hint="eastAsia"/>
                <w:sz w:val="18"/>
                <w:szCs w:val="18"/>
                <w:highlight w:val="none"/>
              </w:rPr>
              <w:t>A，处理量</w:t>
            </w:r>
            <w:r>
              <w:rPr>
                <w:sz w:val="18"/>
                <w:szCs w:val="18"/>
                <w:highlight w:val="none"/>
              </w:rPr>
              <w:t>27</w:t>
            </w:r>
            <w:r>
              <w:rPr>
                <w:rFonts w:hint="eastAsia"/>
                <w:sz w:val="18"/>
                <w:szCs w:val="18"/>
                <w:highlight w:val="none"/>
              </w:rPr>
              <w:t>m³/h</w:t>
            </w:r>
          </w:p>
        </w:tc>
        <w:tc>
          <w:tcPr>
            <w:tcW w:w="874" w:type="dxa"/>
            <w:shd w:val="clear" w:color="auto" w:fill="FFFFFF"/>
            <w:vAlign w:val="center"/>
          </w:tcPr>
          <w:p>
            <w:pPr>
              <w:spacing w:line="360" w:lineRule="auto"/>
              <w:rPr>
                <w:sz w:val="18"/>
                <w:szCs w:val="18"/>
                <w:highlight w:val="none"/>
              </w:rPr>
            </w:pPr>
            <w:r>
              <w:rPr>
                <w:rFonts w:hint="eastAsia"/>
                <w:sz w:val="18"/>
                <w:szCs w:val="18"/>
                <w:highlight w:val="none"/>
              </w:rPr>
              <w:t>S30408</w:t>
            </w:r>
          </w:p>
        </w:tc>
        <w:tc>
          <w:tcPr>
            <w:tcW w:w="577" w:type="dxa"/>
            <w:shd w:val="clear" w:color="auto" w:fill="FFFFFF"/>
            <w:vAlign w:val="center"/>
          </w:tcPr>
          <w:p>
            <w:pPr>
              <w:spacing w:line="360" w:lineRule="auto"/>
              <w:rPr>
                <w:sz w:val="18"/>
                <w:szCs w:val="18"/>
                <w:highlight w:val="none"/>
              </w:rPr>
            </w:pPr>
            <w:r>
              <w:rPr>
                <w:rFonts w:hint="eastAsia"/>
                <w:sz w:val="18"/>
                <w:szCs w:val="18"/>
                <w:highlight w:val="none"/>
              </w:rPr>
              <w:t>套</w:t>
            </w:r>
          </w:p>
        </w:tc>
        <w:tc>
          <w:tcPr>
            <w:tcW w:w="551" w:type="dxa"/>
            <w:gridSpan w:val="2"/>
            <w:shd w:val="clear" w:color="auto" w:fill="FFFFFF"/>
            <w:vAlign w:val="center"/>
          </w:tcPr>
          <w:p>
            <w:pPr>
              <w:spacing w:line="360" w:lineRule="auto"/>
              <w:rPr>
                <w:sz w:val="18"/>
                <w:szCs w:val="18"/>
                <w:highlight w:val="none"/>
              </w:rPr>
            </w:pPr>
            <w:r>
              <w:rPr>
                <w:sz w:val="18"/>
                <w:szCs w:val="18"/>
                <w:highlight w:val="none"/>
              </w:rPr>
              <w:t>2</w:t>
            </w:r>
          </w:p>
        </w:tc>
        <w:tc>
          <w:tcPr>
            <w:tcW w:w="1887" w:type="dxa"/>
            <w:gridSpan w:val="3"/>
            <w:shd w:val="clear" w:color="auto" w:fill="FFFFFF"/>
            <w:vAlign w:val="center"/>
          </w:tcPr>
          <w:p>
            <w:pPr>
              <w:spacing w:line="360" w:lineRule="auto"/>
              <w:rPr>
                <w:sz w:val="18"/>
                <w:szCs w:val="18"/>
                <w:highlight w:val="none"/>
              </w:rPr>
            </w:pPr>
            <w:r>
              <w:rPr>
                <w:rFonts w:hint="eastAsia"/>
                <w:sz w:val="18"/>
                <w:szCs w:val="18"/>
                <w:highlight w:val="none"/>
              </w:rPr>
              <w:t>水质消毒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893" w:type="dxa"/>
            <w:vAlign w:val="center"/>
          </w:tcPr>
          <w:p>
            <w:pPr>
              <w:spacing w:line="360" w:lineRule="auto"/>
              <w:rPr>
                <w:sz w:val="18"/>
                <w:szCs w:val="18"/>
                <w:highlight w:val="none"/>
              </w:rPr>
            </w:pPr>
            <w:r>
              <w:rPr>
                <w:rFonts w:hint="eastAsia"/>
                <w:sz w:val="18"/>
                <w:szCs w:val="18"/>
                <w:highlight w:val="none"/>
              </w:rPr>
              <w:t>不锈钢立式多级离心泵</w:t>
            </w:r>
          </w:p>
        </w:tc>
        <w:tc>
          <w:tcPr>
            <w:tcW w:w="3170" w:type="dxa"/>
            <w:vAlign w:val="center"/>
          </w:tcPr>
          <w:p>
            <w:pPr>
              <w:spacing w:line="360" w:lineRule="auto"/>
              <w:rPr>
                <w:sz w:val="18"/>
                <w:szCs w:val="18"/>
                <w:highlight w:val="none"/>
              </w:rPr>
            </w:pPr>
            <w:r>
              <w:rPr>
                <w:rFonts w:hint="eastAsia"/>
                <w:sz w:val="18"/>
                <w:szCs w:val="18"/>
                <w:highlight w:val="none"/>
              </w:rPr>
              <w:t>水泵：CDM</w:t>
            </w:r>
            <w:r>
              <w:rPr>
                <w:sz w:val="18"/>
                <w:szCs w:val="18"/>
                <w:highlight w:val="none"/>
              </w:rPr>
              <w:t>15</w:t>
            </w:r>
            <w:r>
              <w:rPr>
                <w:rFonts w:hint="eastAsia"/>
                <w:sz w:val="18"/>
                <w:szCs w:val="18"/>
                <w:highlight w:val="none"/>
              </w:rPr>
              <w:t>-</w:t>
            </w:r>
            <w:r>
              <w:rPr>
                <w:sz w:val="18"/>
                <w:szCs w:val="18"/>
                <w:highlight w:val="none"/>
              </w:rPr>
              <w:t>6</w:t>
            </w:r>
          </w:p>
          <w:p>
            <w:pPr>
              <w:spacing w:line="360" w:lineRule="auto"/>
              <w:rPr>
                <w:sz w:val="18"/>
                <w:szCs w:val="18"/>
                <w:highlight w:val="none"/>
              </w:rPr>
            </w:pPr>
            <w:r>
              <w:rPr>
                <w:rFonts w:hint="eastAsia"/>
                <w:sz w:val="18"/>
                <w:szCs w:val="18"/>
                <w:highlight w:val="none"/>
              </w:rPr>
              <w:t>Q=</w:t>
            </w:r>
            <w:r>
              <w:rPr>
                <w:sz w:val="18"/>
                <w:szCs w:val="18"/>
                <w:highlight w:val="none"/>
              </w:rPr>
              <w:t>18</w:t>
            </w:r>
            <w:r>
              <w:rPr>
                <w:rFonts w:hint="eastAsia"/>
                <w:sz w:val="18"/>
                <w:szCs w:val="18"/>
                <w:highlight w:val="none"/>
              </w:rPr>
              <w:t>.</w:t>
            </w:r>
            <w:r>
              <w:rPr>
                <w:sz w:val="18"/>
                <w:szCs w:val="18"/>
                <w:highlight w:val="none"/>
              </w:rPr>
              <w:t>5</w:t>
            </w:r>
            <w:r>
              <w:rPr>
                <w:rFonts w:hint="eastAsia"/>
                <w:sz w:val="18"/>
                <w:szCs w:val="18"/>
                <w:highlight w:val="none"/>
              </w:rPr>
              <w:t>m</w:t>
            </w:r>
            <w:r>
              <w:rPr>
                <w:rFonts w:hint="eastAsia"/>
                <w:sz w:val="18"/>
                <w:szCs w:val="18"/>
                <w:highlight w:val="none"/>
                <w:vertAlign w:val="superscript"/>
              </w:rPr>
              <w:t>3</w:t>
            </w:r>
            <w:r>
              <w:rPr>
                <w:rFonts w:hint="eastAsia"/>
                <w:sz w:val="18"/>
                <w:szCs w:val="18"/>
                <w:highlight w:val="none"/>
              </w:rPr>
              <w:t>/h   H=</w:t>
            </w:r>
            <w:r>
              <w:rPr>
                <w:sz w:val="18"/>
                <w:szCs w:val="18"/>
                <w:highlight w:val="none"/>
              </w:rPr>
              <w:t>62</w:t>
            </w:r>
            <w:r>
              <w:rPr>
                <w:rFonts w:hint="eastAsia"/>
                <w:sz w:val="18"/>
                <w:szCs w:val="18"/>
                <w:highlight w:val="none"/>
              </w:rPr>
              <w:t>m   N=</w:t>
            </w:r>
            <w:r>
              <w:rPr>
                <w:sz w:val="18"/>
                <w:szCs w:val="18"/>
                <w:highlight w:val="none"/>
              </w:rPr>
              <w:t>5</w:t>
            </w:r>
            <w:r>
              <w:rPr>
                <w:rFonts w:hint="eastAsia"/>
                <w:sz w:val="18"/>
                <w:szCs w:val="18"/>
                <w:highlight w:val="none"/>
              </w:rPr>
              <w:t>.</w:t>
            </w:r>
            <w:r>
              <w:rPr>
                <w:sz w:val="18"/>
                <w:szCs w:val="18"/>
                <w:highlight w:val="none"/>
              </w:rPr>
              <w:t>5</w:t>
            </w:r>
            <w:r>
              <w:rPr>
                <w:rFonts w:hint="eastAsia"/>
                <w:sz w:val="18"/>
                <w:szCs w:val="18"/>
                <w:highlight w:val="none"/>
              </w:rPr>
              <w:t>kw</w:t>
            </w:r>
          </w:p>
        </w:tc>
        <w:tc>
          <w:tcPr>
            <w:tcW w:w="874" w:type="dxa"/>
            <w:vAlign w:val="center"/>
          </w:tcPr>
          <w:p>
            <w:pPr>
              <w:spacing w:line="360" w:lineRule="auto"/>
              <w:rPr>
                <w:sz w:val="18"/>
                <w:szCs w:val="18"/>
                <w:highlight w:val="none"/>
              </w:rPr>
            </w:pPr>
            <w:r>
              <w:rPr>
                <w:rFonts w:hint="eastAsia"/>
                <w:sz w:val="18"/>
                <w:szCs w:val="18"/>
                <w:highlight w:val="none"/>
              </w:rPr>
              <w:t>S30408</w:t>
            </w:r>
          </w:p>
        </w:tc>
        <w:tc>
          <w:tcPr>
            <w:tcW w:w="577" w:type="dxa"/>
            <w:vAlign w:val="center"/>
          </w:tcPr>
          <w:p>
            <w:pPr>
              <w:spacing w:line="360" w:lineRule="auto"/>
              <w:rPr>
                <w:sz w:val="18"/>
                <w:szCs w:val="18"/>
                <w:highlight w:val="none"/>
              </w:rPr>
            </w:pPr>
            <w:r>
              <w:rPr>
                <w:rFonts w:hint="eastAsia"/>
                <w:sz w:val="18"/>
                <w:szCs w:val="18"/>
                <w:highlight w:val="none"/>
              </w:rPr>
              <w:t>台</w:t>
            </w:r>
          </w:p>
        </w:tc>
        <w:tc>
          <w:tcPr>
            <w:tcW w:w="589" w:type="dxa"/>
            <w:gridSpan w:val="3"/>
            <w:vAlign w:val="center"/>
          </w:tcPr>
          <w:p>
            <w:pPr>
              <w:spacing w:line="360" w:lineRule="auto"/>
              <w:rPr>
                <w:sz w:val="18"/>
                <w:szCs w:val="18"/>
                <w:highlight w:val="none"/>
              </w:rPr>
            </w:pPr>
            <w:r>
              <w:rPr>
                <w:sz w:val="18"/>
                <w:szCs w:val="18"/>
                <w:highlight w:val="none"/>
              </w:rPr>
              <w:t>3</w:t>
            </w:r>
          </w:p>
        </w:tc>
        <w:tc>
          <w:tcPr>
            <w:tcW w:w="1849" w:type="dxa"/>
            <w:gridSpan w:val="2"/>
            <w:vAlign w:val="center"/>
          </w:tcPr>
          <w:p>
            <w:pPr>
              <w:spacing w:line="360" w:lineRule="auto"/>
              <w:rPr>
                <w:sz w:val="18"/>
                <w:szCs w:val="18"/>
                <w:highlight w:val="none"/>
              </w:rPr>
            </w:pPr>
            <w:r>
              <w:rPr>
                <w:rFonts w:hint="eastAsia"/>
                <w:sz w:val="18"/>
                <w:szCs w:val="18"/>
                <w:highlight w:val="none"/>
              </w:rPr>
              <w:t>过流部件全部为S30408不锈钢材质；</w:t>
            </w:r>
            <w:r>
              <w:rPr>
                <w:sz w:val="18"/>
                <w:szCs w:val="18"/>
                <w:highlight w:val="none"/>
              </w:rPr>
              <w:t>3</w:t>
            </w:r>
            <w:r>
              <w:rPr>
                <w:rFonts w:hint="eastAsia"/>
                <w:sz w:val="18"/>
                <w:szCs w:val="18"/>
                <w:highlight w:val="none"/>
              </w:rPr>
              <w:t>级能效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893" w:type="dxa"/>
            <w:vAlign w:val="center"/>
          </w:tcPr>
          <w:p>
            <w:pPr>
              <w:spacing w:line="360" w:lineRule="auto"/>
              <w:rPr>
                <w:sz w:val="18"/>
                <w:szCs w:val="18"/>
                <w:highlight w:val="none"/>
              </w:rPr>
            </w:pPr>
            <w:r>
              <w:rPr>
                <w:rFonts w:hint="eastAsia"/>
                <w:sz w:val="18"/>
                <w:szCs w:val="18"/>
                <w:highlight w:val="none"/>
              </w:rPr>
              <w:t>进口气压罐</w:t>
            </w:r>
          </w:p>
        </w:tc>
        <w:tc>
          <w:tcPr>
            <w:tcW w:w="3170" w:type="dxa"/>
            <w:vAlign w:val="center"/>
          </w:tcPr>
          <w:p>
            <w:pPr>
              <w:spacing w:line="360" w:lineRule="auto"/>
              <w:rPr>
                <w:sz w:val="18"/>
                <w:szCs w:val="18"/>
                <w:highlight w:val="none"/>
              </w:rPr>
            </w:pPr>
            <w:r>
              <w:rPr>
                <w:sz w:val="18"/>
                <w:szCs w:val="18"/>
                <w:highlight w:val="none"/>
              </w:rPr>
              <w:t>10</w:t>
            </w:r>
            <w:r>
              <w:rPr>
                <w:rFonts w:hint="eastAsia"/>
                <w:sz w:val="18"/>
                <w:szCs w:val="18"/>
                <w:highlight w:val="none"/>
              </w:rPr>
              <w:t>0L 1.</w:t>
            </w:r>
            <w:r>
              <w:rPr>
                <w:sz w:val="18"/>
                <w:szCs w:val="18"/>
                <w:highlight w:val="none"/>
              </w:rPr>
              <w:t>0</w:t>
            </w:r>
            <w:r>
              <w:rPr>
                <w:rFonts w:hint="eastAsia"/>
                <w:sz w:val="18"/>
                <w:szCs w:val="18"/>
                <w:highlight w:val="none"/>
              </w:rPr>
              <w:t>MPa；结构形式：隔膜式；内部材质：丁基橡胶+聚丙烯内衬+不锈钢接口</w:t>
            </w:r>
          </w:p>
        </w:tc>
        <w:tc>
          <w:tcPr>
            <w:tcW w:w="874" w:type="dxa"/>
            <w:vAlign w:val="center"/>
          </w:tcPr>
          <w:p>
            <w:pPr>
              <w:spacing w:line="360" w:lineRule="auto"/>
              <w:rPr>
                <w:sz w:val="18"/>
                <w:szCs w:val="18"/>
                <w:highlight w:val="none"/>
              </w:rPr>
            </w:pPr>
            <w:r>
              <w:rPr>
                <w:rFonts w:hint="eastAsia"/>
                <w:sz w:val="18"/>
                <w:szCs w:val="18"/>
                <w:highlight w:val="none"/>
              </w:rPr>
              <w:t>碳钢</w:t>
            </w:r>
          </w:p>
        </w:tc>
        <w:tc>
          <w:tcPr>
            <w:tcW w:w="577" w:type="dxa"/>
            <w:vAlign w:val="center"/>
          </w:tcPr>
          <w:p>
            <w:pPr>
              <w:spacing w:line="360" w:lineRule="auto"/>
              <w:rPr>
                <w:sz w:val="18"/>
                <w:szCs w:val="18"/>
                <w:highlight w:val="none"/>
              </w:rPr>
            </w:pPr>
            <w:r>
              <w:rPr>
                <w:rFonts w:hint="eastAsia"/>
                <w:sz w:val="18"/>
                <w:szCs w:val="18"/>
                <w:highlight w:val="none"/>
              </w:rPr>
              <w:t>个</w:t>
            </w:r>
          </w:p>
        </w:tc>
        <w:tc>
          <w:tcPr>
            <w:tcW w:w="589" w:type="dxa"/>
            <w:gridSpan w:val="3"/>
            <w:vAlign w:val="center"/>
          </w:tcPr>
          <w:p>
            <w:pPr>
              <w:spacing w:line="360" w:lineRule="auto"/>
              <w:rPr>
                <w:sz w:val="18"/>
                <w:szCs w:val="18"/>
                <w:highlight w:val="none"/>
              </w:rPr>
            </w:pPr>
            <w:r>
              <w:rPr>
                <w:rFonts w:hint="eastAsia"/>
                <w:sz w:val="18"/>
                <w:szCs w:val="18"/>
                <w:highlight w:val="none"/>
              </w:rPr>
              <w:t>1</w:t>
            </w:r>
          </w:p>
        </w:tc>
        <w:tc>
          <w:tcPr>
            <w:tcW w:w="1849" w:type="dxa"/>
            <w:gridSpan w:val="2"/>
            <w:vMerge w:val="restart"/>
            <w:vAlign w:val="center"/>
          </w:tcPr>
          <w:p>
            <w:pPr>
              <w:spacing w:line="360" w:lineRule="auto"/>
              <w:rPr>
                <w:sz w:val="18"/>
                <w:szCs w:val="18"/>
                <w:highlight w:val="none"/>
              </w:rPr>
            </w:pPr>
            <w:r>
              <w:rPr>
                <w:rFonts w:hint="eastAsia"/>
                <w:sz w:val="18"/>
                <w:szCs w:val="18"/>
                <w:highlight w:val="none"/>
              </w:rPr>
              <w:t>隔膜式气压罐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893" w:type="dxa"/>
            <w:vAlign w:val="center"/>
          </w:tcPr>
          <w:p>
            <w:pPr>
              <w:spacing w:line="360" w:lineRule="auto"/>
              <w:rPr>
                <w:sz w:val="18"/>
                <w:szCs w:val="18"/>
                <w:highlight w:val="none"/>
              </w:rPr>
            </w:pPr>
            <w:r>
              <w:rPr>
                <w:rFonts w:hint="eastAsia"/>
                <w:sz w:val="18"/>
                <w:szCs w:val="18"/>
                <w:highlight w:val="none"/>
              </w:rPr>
              <w:t>气压罐</w:t>
            </w:r>
          </w:p>
          <w:p>
            <w:pPr>
              <w:spacing w:line="360" w:lineRule="auto"/>
              <w:rPr>
                <w:sz w:val="18"/>
                <w:szCs w:val="18"/>
                <w:highlight w:val="none"/>
              </w:rPr>
            </w:pPr>
            <w:r>
              <w:rPr>
                <w:rFonts w:hint="eastAsia"/>
                <w:sz w:val="18"/>
                <w:szCs w:val="18"/>
                <w:highlight w:val="none"/>
              </w:rPr>
              <w:t>连接方式</w:t>
            </w:r>
          </w:p>
        </w:tc>
        <w:tc>
          <w:tcPr>
            <w:tcW w:w="3170" w:type="dxa"/>
            <w:vAlign w:val="center"/>
          </w:tcPr>
          <w:p>
            <w:pPr>
              <w:spacing w:line="360" w:lineRule="auto"/>
              <w:rPr>
                <w:sz w:val="18"/>
                <w:szCs w:val="18"/>
                <w:highlight w:val="none"/>
              </w:rPr>
            </w:pPr>
            <w:r>
              <w:rPr>
                <w:rFonts w:hint="eastAsia"/>
                <w:sz w:val="18"/>
                <w:szCs w:val="18"/>
                <w:highlight w:val="none"/>
              </w:rPr>
              <w:t>不锈钢硬链接</w:t>
            </w:r>
          </w:p>
        </w:tc>
        <w:tc>
          <w:tcPr>
            <w:tcW w:w="874" w:type="dxa"/>
            <w:vAlign w:val="center"/>
          </w:tcPr>
          <w:p>
            <w:pPr>
              <w:spacing w:line="360" w:lineRule="auto"/>
              <w:rPr>
                <w:sz w:val="18"/>
                <w:szCs w:val="18"/>
                <w:highlight w:val="none"/>
              </w:rPr>
            </w:pPr>
            <w:r>
              <w:rPr>
                <w:rFonts w:hint="eastAsia"/>
                <w:sz w:val="18"/>
                <w:szCs w:val="18"/>
                <w:highlight w:val="none"/>
              </w:rPr>
              <w:t>S30408</w:t>
            </w:r>
          </w:p>
        </w:tc>
        <w:tc>
          <w:tcPr>
            <w:tcW w:w="577" w:type="dxa"/>
            <w:vAlign w:val="center"/>
          </w:tcPr>
          <w:p>
            <w:pPr>
              <w:spacing w:line="360" w:lineRule="auto"/>
              <w:rPr>
                <w:sz w:val="18"/>
                <w:szCs w:val="18"/>
                <w:highlight w:val="none"/>
              </w:rPr>
            </w:pPr>
            <w:r>
              <w:rPr>
                <w:rFonts w:hint="eastAsia"/>
                <w:sz w:val="18"/>
                <w:szCs w:val="18"/>
                <w:highlight w:val="none"/>
              </w:rPr>
              <w:t>套</w:t>
            </w:r>
          </w:p>
        </w:tc>
        <w:tc>
          <w:tcPr>
            <w:tcW w:w="589" w:type="dxa"/>
            <w:gridSpan w:val="3"/>
            <w:vAlign w:val="center"/>
          </w:tcPr>
          <w:p>
            <w:pPr>
              <w:spacing w:line="360" w:lineRule="auto"/>
              <w:rPr>
                <w:sz w:val="18"/>
                <w:szCs w:val="18"/>
                <w:highlight w:val="none"/>
              </w:rPr>
            </w:pPr>
            <w:r>
              <w:rPr>
                <w:rFonts w:hint="eastAsia"/>
                <w:sz w:val="18"/>
                <w:szCs w:val="18"/>
                <w:highlight w:val="none"/>
              </w:rPr>
              <w:t>1</w:t>
            </w: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893" w:type="dxa"/>
            <w:vAlign w:val="center"/>
          </w:tcPr>
          <w:p>
            <w:pPr>
              <w:spacing w:line="360" w:lineRule="auto"/>
              <w:rPr>
                <w:sz w:val="18"/>
                <w:szCs w:val="18"/>
                <w:highlight w:val="none"/>
              </w:rPr>
            </w:pPr>
            <w:r>
              <w:rPr>
                <w:rFonts w:hint="eastAsia"/>
                <w:sz w:val="18"/>
                <w:szCs w:val="18"/>
                <w:highlight w:val="none"/>
              </w:rPr>
              <w:t>法兰式蝶阀</w:t>
            </w:r>
          </w:p>
        </w:tc>
        <w:tc>
          <w:tcPr>
            <w:tcW w:w="3170" w:type="dxa"/>
            <w:vAlign w:val="center"/>
          </w:tcPr>
          <w:p>
            <w:pPr>
              <w:spacing w:line="360" w:lineRule="auto"/>
              <w:rPr>
                <w:sz w:val="18"/>
                <w:szCs w:val="18"/>
                <w:highlight w:val="none"/>
              </w:rPr>
            </w:pPr>
            <w:r>
              <w:rPr>
                <w:rFonts w:hint="eastAsia"/>
                <w:sz w:val="18"/>
                <w:szCs w:val="18"/>
                <w:highlight w:val="none"/>
              </w:rPr>
              <w:t>S30408不锈钢材质</w:t>
            </w:r>
          </w:p>
        </w:tc>
        <w:tc>
          <w:tcPr>
            <w:tcW w:w="874" w:type="dxa"/>
            <w:vMerge w:val="restart"/>
            <w:vAlign w:val="center"/>
          </w:tcPr>
          <w:p>
            <w:pPr>
              <w:spacing w:line="360" w:lineRule="auto"/>
              <w:rPr>
                <w:sz w:val="18"/>
                <w:szCs w:val="18"/>
                <w:highlight w:val="none"/>
              </w:rPr>
            </w:pPr>
            <w:r>
              <w:rPr>
                <w:rFonts w:hint="eastAsia"/>
                <w:sz w:val="18"/>
                <w:szCs w:val="18"/>
                <w:highlight w:val="none"/>
              </w:rPr>
              <w:t>S30408</w:t>
            </w:r>
          </w:p>
        </w:tc>
        <w:tc>
          <w:tcPr>
            <w:tcW w:w="643" w:type="dxa"/>
            <w:gridSpan w:val="2"/>
            <w:vMerge w:val="restart"/>
            <w:vAlign w:val="center"/>
          </w:tcPr>
          <w:p>
            <w:pPr>
              <w:spacing w:line="360" w:lineRule="auto"/>
              <w:rPr>
                <w:sz w:val="18"/>
                <w:szCs w:val="18"/>
                <w:highlight w:val="none"/>
              </w:rPr>
            </w:pPr>
            <w:r>
              <w:rPr>
                <w:rFonts w:hint="eastAsia"/>
                <w:sz w:val="18"/>
                <w:szCs w:val="18"/>
                <w:highlight w:val="none"/>
              </w:rPr>
              <w:t>套</w:t>
            </w:r>
          </w:p>
        </w:tc>
        <w:tc>
          <w:tcPr>
            <w:tcW w:w="523" w:type="dxa"/>
            <w:gridSpan w:val="2"/>
            <w:vMerge w:val="restart"/>
            <w:vAlign w:val="center"/>
          </w:tcPr>
          <w:p>
            <w:pPr>
              <w:spacing w:line="360" w:lineRule="auto"/>
              <w:rPr>
                <w:sz w:val="18"/>
                <w:szCs w:val="18"/>
                <w:highlight w:val="none"/>
              </w:rPr>
            </w:pPr>
            <w:r>
              <w:rPr>
                <w:rFonts w:hint="eastAsia"/>
                <w:sz w:val="18"/>
                <w:szCs w:val="18"/>
                <w:highlight w:val="none"/>
              </w:rPr>
              <w:t>1</w:t>
            </w:r>
          </w:p>
        </w:tc>
        <w:tc>
          <w:tcPr>
            <w:tcW w:w="1849" w:type="dxa"/>
            <w:gridSpan w:val="2"/>
            <w:vMerge w:val="restart"/>
            <w:vAlign w:val="center"/>
          </w:tcPr>
          <w:p>
            <w:pPr>
              <w:spacing w:line="360" w:lineRule="auto"/>
              <w:rPr>
                <w:sz w:val="18"/>
                <w:szCs w:val="18"/>
                <w:highlight w:val="none"/>
              </w:rPr>
            </w:pPr>
            <w:r>
              <w:rPr>
                <w:rFonts w:hint="eastAsia"/>
                <w:sz w:val="18"/>
                <w:szCs w:val="18"/>
                <w:highlight w:val="none"/>
              </w:rPr>
              <w:t>所有管阀配件均以上源企业标准定制产品，质量均优于国家标准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jc w:val="center"/>
        </w:trPr>
        <w:tc>
          <w:tcPr>
            <w:tcW w:w="1893" w:type="dxa"/>
            <w:vAlign w:val="center"/>
          </w:tcPr>
          <w:p>
            <w:pPr>
              <w:spacing w:line="360" w:lineRule="auto"/>
              <w:rPr>
                <w:sz w:val="18"/>
                <w:szCs w:val="18"/>
                <w:highlight w:val="none"/>
              </w:rPr>
            </w:pPr>
            <w:r>
              <w:rPr>
                <w:rFonts w:hint="eastAsia"/>
                <w:sz w:val="18"/>
                <w:szCs w:val="18"/>
                <w:highlight w:val="none"/>
              </w:rPr>
              <w:t>消声止回阀</w:t>
            </w:r>
          </w:p>
        </w:tc>
        <w:tc>
          <w:tcPr>
            <w:tcW w:w="3170" w:type="dxa"/>
            <w:vAlign w:val="center"/>
          </w:tcPr>
          <w:p>
            <w:pPr>
              <w:spacing w:line="360" w:lineRule="auto"/>
              <w:rPr>
                <w:sz w:val="18"/>
                <w:szCs w:val="18"/>
                <w:highlight w:val="none"/>
              </w:rPr>
            </w:pPr>
            <w:r>
              <w:rPr>
                <w:rFonts w:hint="eastAsia"/>
                <w:sz w:val="18"/>
                <w:szCs w:val="18"/>
                <w:highlight w:val="none"/>
              </w:rPr>
              <w:t>S30408不锈钢材质，上源专用，消水锤防倒流</w:t>
            </w:r>
          </w:p>
        </w:tc>
        <w:tc>
          <w:tcPr>
            <w:tcW w:w="874" w:type="dxa"/>
            <w:vMerge w:val="continue"/>
            <w:vAlign w:val="center"/>
          </w:tcPr>
          <w:p>
            <w:pPr>
              <w:spacing w:line="360" w:lineRule="auto"/>
              <w:rPr>
                <w:sz w:val="18"/>
                <w:szCs w:val="18"/>
                <w:highlight w:val="none"/>
              </w:rPr>
            </w:pPr>
          </w:p>
        </w:tc>
        <w:tc>
          <w:tcPr>
            <w:tcW w:w="643" w:type="dxa"/>
            <w:gridSpan w:val="2"/>
            <w:vMerge w:val="continue"/>
            <w:vAlign w:val="center"/>
          </w:tcPr>
          <w:p>
            <w:pPr>
              <w:spacing w:line="360" w:lineRule="auto"/>
              <w:rPr>
                <w:sz w:val="18"/>
                <w:szCs w:val="18"/>
                <w:highlight w:val="none"/>
              </w:rPr>
            </w:pPr>
          </w:p>
        </w:tc>
        <w:tc>
          <w:tcPr>
            <w:tcW w:w="523" w:type="dxa"/>
            <w:gridSpan w:val="2"/>
            <w:vMerge w:val="continue"/>
            <w:vAlign w:val="center"/>
          </w:tcPr>
          <w:p>
            <w:pPr>
              <w:spacing w:line="360" w:lineRule="auto"/>
              <w:rPr>
                <w:sz w:val="18"/>
                <w:szCs w:val="18"/>
                <w:highlight w:val="none"/>
              </w:rPr>
            </w:pP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893" w:type="dxa"/>
            <w:vAlign w:val="center"/>
          </w:tcPr>
          <w:p>
            <w:pPr>
              <w:spacing w:line="360" w:lineRule="auto"/>
              <w:rPr>
                <w:sz w:val="18"/>
                <w:szCs w:val="18"/>
                <w:highlight w:val="none"/>
              </w:rPr>
            </w:pPr>
            <w:r>
              <w:rPr>
                <w:rFonts w:hint="eastAsia"/>
                <w:sz w:val="18"/>
                <w:szCs w:val="18"/>
                <w:highlight w:val="none"/>
              </w:rPr>
              <w:t>不锈钢弯头</w:t>
            </w:r>
          </w:p>
        </w:tc>
        <w:tc>
          <w:tcPr>
            <w:tcW w:w="3170" w:type="dxa"/>
            <w:vAlign w:val="center"/>
          </w:tcPr>
          <w:p>
            <w:pPr>
              <w:spacing w:line="360" w:lineRule="auto"/>
              <w:rPr>
                <w:sz w:val="18"/>
                <w:szCs w:val="18"/>
                <w:highlight w:val="none"/>
              </w:rPr>
            </w:pPr>
            <w:r>
              <w:rPr>
                <w:rFonts w:hint="eastAsia"/>
                <w:sz w:val="18"/>
                <w:szCs w:val="18"/>
                <w:highlight w:val="none"/>
              </w:rPr>
              <w:t>S30408不锈钢材质无缝钢管</w:t>
            </w:r>
          </w:p>
        </w:tc>
        <w:tc>
          <w:tcPr>
            <w:tcW w:w="874" w:type="dxa"/>
            <w:vMerge w:val="continue"/>
            <w:vAlign w:val="center"/>
          </w:tcPr>
          <w:p>
            <w:pPr>
              <w:spacing w:line="360" w:lineRule="auto"/>
              <w:rPr>
                <w:sz w:val="18"/>
                <w:szCs w:val="18"/>
                <w:highlight w:val="none"/>
              </w:rPr>
            </w:pPr>
          </w:p>
        </w:tc>
        <w:tc>
          <w:tcPr>
            <w:tcW w:w="643" w:type="dxa"/>
            <w:gridSpan w:val="2"/>
            <w:vMerge w:val="continue"/>
            <w:vAlign w:val="center"/>
          </w:tcPr>
          <w:p>
            <w:pPr>
              <w:spacing w:line="360" w:lineRule="auto"/>
              <w:rPr>
                <w:sz w:val="18"/>
                <w:szCs w:val="18"/>
                <w:highlight w:val="none"/>
              </w:rPr>
            </w:pPr>
          </w:p>
        </w:tc>
        <w:tc>
          <w:tcPr>
            <w:tcW w:w="523" w:type="dxa"/>
            <w:gridSpan w:val="2"/>
            <w:vMerge w:val="continue"/>
            <w:vAlign w:val="center"/>
          </w:tcPr>
          <w:p>
            <w:pPr>
              <w:spacing w:line="360" w:lineRule="auto"/>
              <w:rPr>
                <w:sz w:val="18"/>
                <w:szCs w:val="18"/>
                <w:highlight w:val="none"/>
              </w:rPr>
            </w:pP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893" w:type="dxa"/>
            <w:vAlign w:val="center"/>
          </w:tcPr>
          <w:p>
            <w:pPr>
              <w:spacing w:line="360" w:lineRule="auto"/>
              <w:rPr>
                <w:sz w:val="18"/>
                <w:szCs w:val="18"/>
                <w:highlight w:val="none"/>
              </w:rPr>
            </w:pPr>
            <w:r>
              <w:rPr>
                <w:rFonts w:hint="eastAsia"/>
                <w:sz w:val="18"/>
                <w:szCs w:val="18"/>
                <w:highlight w:val="none"/>
              </w:rPr>
              <w:t>不锈钢法兰</w:t>
            </w:r>
          </w:p>
        </w:tc>
        <w:tc>
          <w:tcPr>
            <w:tcW w:w="3170" w:type="dxa"/>
            <w:vAlign w:val="center"/>
          </w:tcPr>
          <w:p>
            <w:pPr>
              <w:spacing w:line="360" w:lineRule="auto"/>
              <w:rPr>
                <w:sz w:val="18"/>
                <w:szCs w:val="18"/>
                <w:highlight w:val="none"/>
              </w:rPr>
            </w:pPr>
            <w:r>
              <w:rPr>
                <w:rFonts w:hint="eastAsia"/>
                <w:sz w:val="18"/>
                <w:szCs w:val="18"/>
                <w:highlight w:val="none"/>
              </w:rPr>
              <w:t>S30408不锈钢材质国标法兰</w:t>
            </w:r>
          </w:p>
        </w:tc>
        <w:tc>
          <w:tcPr>
            <w:tcW w:w="874" w:type="dxa"/>
            <w:vMerge w:val="continue"/>
            <w:vAlign w:val="center"/>
          </w:tcPr>
          <w:p>
            <w:pPr>
              <w:spacing w:line="360" w:lineRule="auto"/>
              <w:rPr>
                <w:sz w:val="18"/>
                <w:szCs w:val="18"/>
                <w:highlight w:val="none"/>
              </w:rPr>
            </w:pPr>
          </w:p>
        </w:tc>
        <w:tc>
          <w:tcPr>
            <w:tcW w:w="643" w:type="dxa"/>
            <w:gridSpan w:val="2"/>
            <w:vMerge w:val="continue"/>
            <w:vAlign w:val="center"/>
          </w:tcPr>
          <w:p>
            <w:pPr>
              <w:spacing w:line="360" w:lineRule="auto"/>
              <w:rPr>
                <w:sz w:val="18"/>
                <w:szCs w:val="18"/>
                <w:highlight w:val="none"/>
              </w:rPr>
            </w:pPr>
          </w:p>
        </w:tc>
        <w:tc>
          <w:tcPr>
            <w:tcW w:w="523" w:type="dxa"/>
            <w:gridSpan w:val="2"/>
            <w:vMerge w:val="continue"/>
            <w:vAlign w:val="center"/>
          </w:tcPr>
          <w:p>
            <w:pPr>
              <w:spacing w:line="360" w:lineRule="auto"/>
              <w:rPr>
                <w:sz w:val="18"/>
                <w:szCs w:val="18"/>
                <w:highlight w:val="none"/>
              </w:rPr>
            </w:pP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893" w:type="dxa"/>
            <w:vAlign w:val="center"/>
          </w:tcPr>
          <w:p>
            <w:pPr>
              <w:spacing w:line="360" w:lineRule="auto"/>
              <w:rPr>
                <w:sz w:val="18"/>
                <w:szCs w:val="18"/>
                <w:highlight w:val="none"/>
              </w:rPr>
            </w:pPr>
            <w:r>
              <w:rPr>
                <w:rFonts w:hint="eastAsia"/>
                <w:sz w:val="18"/>
                <w:szCs w:val="18"/>
                <w:highlight w:val="none"/>
              </w:rPr>
              <w:t>不锈钢钢管</w:t>
            </w:r>
          </w:p>
        </w:tc>
        <w:tc>
          <w:tcPr>
            <w:tcW w:w="3170" w:type="dxa"/>
            <w:vAlign w:val="center"/>
          </w:tcPr>
          <w:p>
            <w:pPr>
              <w:spacing w:line="360" w:lineRule="auto"/>
              <w:rPr>
                <w:sz w:val="18"/>
                <w:szCs w:val="18"/>
                <w:highlight w:val="none"/>
              </w:rPr>
            </w:pPr>
            <w:r>
              <w:rPr>
                <w:rFonts w:hint="eastAsia"/>
                <w:sz w:val="18"/>
                <w:szCs w:val="18"/>
                <w:highlight w:val="none"/>
              </w:rPr>
              <w:t>S30408不锈钢材质无缝钢管，壁厚不小于3.0mm</w:t>
            </w:r>
          </w:p>
        </w:tc>
        <w:tc>
          <w:tcPr>
            <w:tcW w:w="874" w:type="dxa"/>
            <w:vMerge w:val="continue"/>
            <w:vAlign w:val="center"/>
          </w:tcPr>
          <w:p>
            <w:pPr>
              <w:spacing w:line="360" w:lineRule="auto"/>
              <w:rPr>
                <w:sz w:val="18"/>
                <w:szCs w:val="18"/>
                <w:highlight w:val="none"/>
              </w:rPr>
            </w:pPr>
          </w:p>
        </w:tc>
        <w:tc>
          <w:tcPr>
            <w:tcW w:w="643" w:type="dxa"/>
            <w:gridSpan w:val="2"/>
            <w:vMerge w:val="continue"/>
            <w:vAlign w:val="center"/>
          </w:tcPr>
          <w:p>
            <w:pPr>
              <w:spacing w:line="360" w:lineRule="auto"/>
              <w:rPr>
                <w:sz w:val="18"/>
                <w:szCs w:val="18"/>
                <w:highlight w:val="none"/>
              </w:rPr>
            </w:pPr>
          </w:p>
        </w:tc>
        <w:tc>
          <w:tcPr>
            <w:tcW w:w="523" w:type="dxa"/>
            <w:gridSpan w:val="2"/>
            <w:vMerge w:val="continue"/>
            <w:vAlign w:val="center"/>
          </w:tcPr>
          <w:p>
            <w:pPr>
              <w:spacing w:line="360" w:lineRule="auto"/>
              <w:rPr>
                <w:sz w:val="18"/>
                <w:szCs w:val="18"/>
                <w:highlight w:val="none"/>
              </w:rPr>
            </w:pP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893" w:type="dxa"/>
            <w:vAlign w:val="center"/>
          </w:tcPr>
          <w:p>
            <w:pPr>
              <w:spacing w:line="360" w:lineRule="auto"/>
              <w:rPr>
                <w:sz w:val="18"/>
                <w:szCs w:val="18"/>
                <w:highlight w:val="none"/>
              </w:rPr>
            </w:pPr>
            <w:r>
              <w:rPr>
                <w:rFonts w:hint="eastAsia"/>
                <w:sz w:val="18"/>
                <w:szCs w:val="18"/>
                <w:highlight w:val="none"/>
              </w:rPr>
              <w:t>机组底座</w:t>
            </w:r>
          </w:p>
        </w:tc>
        <w:tc>
          <w:tcPr>
            <w:tcW w:w="3170" w:type="dxa"/>
            <w:vAlign w:val="center"/>
          </w:tcPr>
          <w:p>
            <w:pPr>
              <w:spacing w:line="360" w:lineRule="auto"/>
              <w:rPr>
                <w:sz w:val="18"/>
                <w:szCs w:val="18"/>
                <w:highlight w:val="none"/>
              </w:rPr>
            </w:pPr>
            <w:r>
              <w:rPr>
                <w:rFonts w:hint="eastAsia"/>
                <w:sz w:val="18"/>
                <w:szCs w:val="18"/>
                <w:highlight w:val="none"/>
              </w:rPr>
              <w:t>底座框架为国标10#镀锌槽钢，铺厚度不小于3.0mm的S30408不锈钢板，泵座加铺5.0mm的S30408不锈钢板，底座内部平行式暗管布线</w:t>
            </w:r>
          </w:p>
        </w:tc>
        <w:tc>
          <w:tcPr>
            <w:tcW w:w="874" w:type="dxa"/>
            <w:vMerge w:val="continue"/>
            <w:vAlign w:val="center"/>
          </w:tcPr>
          <w:p>
            <w:pPr>
              <w:spacing w:line="360" w:lineRule="auto"/>
              <w:rPr>
                <w:sz w:val="18"/>
                <w:szCs w:val="18"/>
                <w:highlight w:val="none"/>
              </w:rPr>
            </w:pPr>
          </w:p>
        </w:tc>
        <w:tc>
          <w:tcPr>
            <w:tcW w:w="643" w:type="dxa"/>
            <w:gridSpan w:val="2"/>
            <w:vMerge w:val="continue"/>
            <w:vAlign w:val="center"/>
          </w:tcPr>
          <w:p>
            <w:pPr>
              <w:spacing w:line="360" w:lineRule="auto"/>
              <w:rPr>
                <w:sz w:val="18"/>
                <w:szCs w:val="18"/>
                <w:highlight w:val="none"/>
              </w:rPr>
            </w:pPr>
          </w:p>
        </w:tc>
        <w:tc>
          <w:tcPr>
            <w:tcW w:w="523" w:type="dxa"/>
            <w:gridSpan w:val="2"/>
            <w:vMerge w:val="continue"/>
            <w:vAlign w:val="center"/>
          </w:tcPr>
          <w:p>
            <w:pPr>
              <w:spacing w:line="360" w:lineRule="auto"/>
              <w:rPr>
                <w:sz w:val="18"/>
                <w:szCs w:val="18"/>
                <w:highlight w:val="none"/>
              </w:rPr>
            </w:pP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压力仪器仪表连接阀门</w:t>
            </w:r>
          </w:p>
        </w:tc>
        <w:tc>
          <w:tcPr>
            <w:tcW w:w="3170"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S30408不锈钢活接球阀</w:t>
            </w:r>
          </w:p>
        </w:tc>
        <w:tc>
          <w:tcPr>
            <w:tcW w:w="874" w:type="dxa"/>
            <w:vMerge w:val="continue"/>
            <w:vAlign w:val="center"/>
          </w:tcPr>
          <w:p>
            <w:pPr>
              <w:spacing w:line="360" w:lineRule="auto"/>
              <w:rPr>
                <w:sz w:val="18"/>
                <w:szCs w:val="18"/>
                <w:highlight w:val="none"/>
              </w:rPr>
            </w:pPr>
          </w:p>
        </w:tc>
        <w:tc>
          <w:tcPr>
            <w:tcW w:w="643" w:type="dxa"/>
            <w:gridSpan w:val="2"/>
            <w:vMerge w:val="continue"/>
            <w:vAlign w:val="center"/>
          </w:tcPr>
          <w:p>
            <w:pPr>
              <w:spacing w:line="360" w:lineRule="auto"/>
              <w:rPr>
                <w:sz w:val="18"/>
                <w:szCs w:val="18"/>
                <w:highlight w:val="none"/>
              </w:rPr>
            </w:pPr>
          </w:p>
        </w:tc>
        <w:tc>
          <w:tcPr>
            <w:tcW w:w="523" w:type="dxa"/>
            <w:gridSpan w:val="2"/>
            <w:vMerge w:val="continue"/>
            <w:vAlign w:val="center"/>
          </w:tcPr>
          <w:p>
            <w:pPr>
              <w:spacing w:line="360" w:lineRule="auto"/>
              <w:rPr>
                <w:sz w:val="18"/>
                <w:szCs w:val="18"/>
                <w:highlight w:val="none"/>
              </w:rPr>
            </w:pP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连接螺杆螺帽</w:t>
            </w:r>
          </w:p>
        </w:tc>
        <w:tc>
          <w:tcPr>
            <w:tcW w:w="3170"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S30408不锈钢螺杆，S30408防抱死专用螺帽</w:t>
            </w:r>
          </w:p>
        </w:tc>
        <w:tc>
          <w:tcPr>
            <w:tcW w:w="874" w:type="dxa"/>
            <w:vMerge w:val="continue"/>
            <w:tcBorders>
              <w:bottom w:val="single" w:color="000000" w:sz="4" w:space="0"/>
            </w:tcBorders>
            <w:vAlign w:val="center"/>
          </w:tcPr>
          <w:p>
            <w:pPr>
              <w:spacing w:line="360" w:lineRule="auto"/>
              <w:rPr>
                <w:sz w:val="18"/>
                <w:szCs w:val="18"/>
                <w:highlight w:val="none"/>
              </w:rPr>
            </w:pPr>
          </w:p>
        </w:tc>
        <w:tc>
          <w:tcPr>
            <w:tcW w:w="643" w:type="dxa"/>
            <w:gridSpan w:val="2"/>
            <w:vMerge w:val="continue"/>
            <w:tcBorders>
              <w:bottom w:val="single" w:color="000000" w:sz="4" w:space="0"/>
            </w:tcBorders>
            <w:vAlign w:val="center"/>
          </w:tcPr>
          <w:p>
            <w:pPr>
              <w:spacing w:line="360" w:lineRule="auto"/>
              <w:rPr>
                <w:sz w:val="18"/>
                <w:szCs w:val="18"/>
                <w:highlight w:val="none"/>
              </w:rPr>
            </w:pPr>
          </w:p>
        </w:tc>
        <w:tc>
          <w:tcPr>
            <w:tcW w:w="523" w:type="dxa"/>
            <w:gridSpan w:val="2"/>
            <w:vMerge w:val="continue"/>
            <w:tcBorders>
              <w:bottom w:val="single" w:color="000000" w:sz="4" w:space="0"/>
            </w:tcBorders>
            <w:vAlign w:val="center"/>
          </w:tcPr>
          <w:p>
            <w:pPr>
              <w:spacing w:line="360" w:lineRule="auto"/>
              <w:rPr>
                <w:sz w:val="18"/>
                <w:szCs w:val="18"/>
                <w:highlight w:val="none"/>
              </w:rPr>
            </w:pPr>
          </w:p>
        </w:tc>
        <w:tc>
          <w:tcPr>
            <w:tcW w:w="1849" w:type="dxa"/>
            <w:gridSpan w:val="2"/>
            <w:vMerge w:val="continue"/>
            <w:tcBorders>
              <w:bottom w:val="single" w:color="000000" w:sz="4" w:space="0"/>
            </w:tcBorders>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压力变送器</w:t>
            </w:r>
          </w:p>
        </w:tc>
        <w:tc>
          <w:tcPr>
            <w:tcW w:w="4044"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1.6Mpa，压力信号模拟量输出</w:t>
            </w:r>
          </w:p>
        </w:tc>
        <w:tc>
          <w:tcPr>
            <w:tcW w:w="64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只</w:t>
            </w:r>
          </w:p>
        </w:tc>
        <w:tc>
          <w:tcPr>
            <w:tcW w:w="523" w:type="dxa"/>
            <w:gridSpan w:val="2"/>
            <w:tcBorders>
              <w:bottom w:val="single" w:color="000000" w:sz="4" w:space="0"/>
            </w:tcBorders>
            <w:vAlign w:val="center"/>
          </w:tcPr>
          <w:p>
            <w:pPr>
              <w:spacing w:line="360" w:lineRule="auto"/>
              <w:rPr>
                <w:sz w:val="18"/>
                <w:szCs w:val="18"/>
                <w:highlight w:val="none"/>
              </w:rPr>
            </w:pPr>
            <w:r>
              <w:rPr>
                <w:sz w:val="18"/>
                <w:szCs w:val="18"/>
                <w:highlight w:val="none"/>
              </w:rPr>
              <w:t>2</w:t>
            </w:r>
          </w:p>
        </w:tc>
        <w:tc>
          <w:tcPr>
            <w:tcW w:w="1849"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采集进水和出水压力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水箱液位计</w:t>
            </w:r>
          </w:p>
        </w:tc>
        <w:tc>
          <w:tcPr>
            <w:tcW w:w="4044"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0-</w:t>
            </w:r>
            <w:r>
              <w:rPr>
                <w:sz w:val="18"/>
                <w:szCs w:val="18"/>
                <w:highlight w:val="none"/>
              </w:rPr>
              <w:t>2</w:t>
            </w:r>
            <w:r>
              <w:rPr>
                <w:rFonts w:hint="eastAsia"/>
                <w:sz w:val="18"/>
                <w:szCs w:val="18"/>
                <w:highlight w:val="none"/>
              </w:rPr>
              <w:t>米，液位信号模拟量输出</w:t>
            </w:r>
          </w:p>
        </w:tc>
        <w:tc>
          <w:tcPr>
            <w:tcW w:w="64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只</w:t>
            </w:r>
          </w:p>
        </w:tc>
        <w:tc>
          <w:tcPr>
            <w:tcW w:w="523" w:type="dxa"/>
            <w:gridSpan w:val="2"/>
            <w:tcBorders>
              <w:bottom w:val="single" w:color="000000" w:sz="4" w:space="0"/>
            </w:tcBorders>
            <w:vAlign w:val="center"/>
          </w:tcPr>
          <w:p>
            <w:pPr>
              <w:spacing w:line="360" w:lineRule="auto"/>
              <w:rPr>
                <w:sz w:val="18"/>
                <w:szCs w:val="18"/>
                <w:highlight w:val="none"/>
              </w:rPr>
            </w:pPr>
            <w:r>
              <w:rPr>
                <w:sz w:val="18"/>
                <w:szCs w:val="18"/>
                <w:highlight w:val="none"/>
              </w:rPr>
              <w:t>2</w:t>
            </w:r>
          </w:p>
        </w:tc>
        <w:tc>
          <w:tcPr>
            <w:tcW w:w="1849"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采集水箱液位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电接点压力表</w:t>
            </w:r>
          </w:p>
        </w:tc>
        <w:tc>
          <w:tcPr>
            <w:tcW w:w="4044"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0-1.6MPa，数字量输出</w:t>
            </w:r>
          </w:p>
        </w:tc>
        <w:tc>
          <w:tcPr>
            <w:tcW w:w="64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只</w:t>
            </w:r>
          </w:p>
        </w:tc>
        <w:tc>
          <w:tcPr>
            <w:tcW w:w="52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1</w:t>
            </w:r>
          </w:p>
        </w:tc>
        <w:tc>
          <w:tcPr>
            <w:tcW w:w="1849"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超压保护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多功能电表</w:t>
            </w:r>
          </w:p>
        </w:tc>
        <w:tc>
          <w:tcPr>
            <w:tcW w:w="4044"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采集供电系统电压、电流、电量</w:t>
            </w:r>
          </w:p>
        </w:tc>
        <w:tc>
          <w:tcPr>
            <w:tcW w:w="64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只</w:t>
            </w:r>
          </w:p>
        </w:tc>
        <w:tc>
          <w:tcPr>
            <w:tcW w:w="52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1</w:t>
            </w:r>
          </w:p>
        </w:tc>
        <w:tc>
          <w:tcPr>
            <w:tcW w:w="1849"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供电数据采集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电磁流量计</w:t>
            </w:r>
          </w:p>
        </w:tc>
        <w:tc>
          <w:tcPr>
            <w:tcW w:w="4044"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采集出水流量，D</w:t>
            </w:r>
            <w:r>
              <w:rPr>
                <w:sz w:val="18"/>
                <w:szCs w:val="18"/>
                <w:highlight w:val="none"/>
              </w:rPr>
              <w:t>N100</w:t>
            </w:r>
          </w:p>
        </w:tc>
        <w:tc>
          <w:tcPr>
            <w:tcW w:w="64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只</w:t>
            </w:r>
          </w:p>
        </w:tc>
        <w:tc>
          <w:tcPr>
            <w:tcW w:w="52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1</w:t>
            </w:r>
          </w:p>
        </w:tc>
        <w:tc>
          <w:tcPr>
            <w:tcW w:w="1849"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流量采集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jc w:val="center"/>
        </w:trPr>
        <w:tc>
          <w:tcPr>
            <w:tcW w:w="1893" w:type="dxa"/>
            <w:tcBorders>
              <w:bottom w:val="single" w:color="000000" w:sz="4" w:space="0"/>
            </w:tcBorders>
            <w:vAlign w:val="center"/>
          </w:tcPr>
          <w:p>
            <w:pPr>
              <w:spacing w:line="360" w:lineRule="auto"/>
              <w:rPr>
                <w:sz w:val="18"/>
                <w:szCs w:val="18"/>
                <w:highlight w:val="none"/>
              </w:rPr>
            </w:pPr>
            <w:r>
              <w:rPr>
                <w:rFonts w:hint="eastAsia"/>
                <w:sz w:val="18"/>
                <w:szCs w:val="18"/>
                <w:highlight w:val="none"/>
              </w:rPr>
              <w:t>泵房积水探头</w:t>
            </w:r>
          </w:p>
        </w:tc>
        <w:tc>
          <w:tcPr>
            <w:tcW w:w="4044"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采集泵房地面液位信号</w:t>
            </w:r>
          </w:p>
        </w:tc>
        <w:tc>
          <w:tcPr>
            <w:tcW w:w="64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只</w:t>
            </w:r>
          </w:p>
        </w:tc>
        <w:tc>
          <w:tcPr>
            <w:tcW w:w="523"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1</w:t>
            </w:r>
          </w:p>
        </w:tc>
        <w:tc>
          <w:tcPr>
            <w:tcW w:w="1849" w:type="dxa"/>
            <w:gridSpan w:val="2"/>
            <w:tcBorders>
              <w:bottom w:val="single" w:color="000000" w:sz="4" w:space="0"/>
            </w:tcBorders>
            <w:vAlign w:val="center"/>
          </w:tcPr>
          <w:p>
            <w:pPr>
              <w:spacing w:line="360" w:lineRule="auto"/>
              <w:rPr>
                <w:sz w:val="18"/>
                <w:szCs w:val="18"/>
                <w:highlight w:val="none"/>
              </w:rPr>
            </w:pPr>
            <w:r>
              <w:rPr>
                <w:rFonts w:hint="eastAsia"/>
                <w:sz w:val="18"/>
                <w:szCs w:val="18"/>
                <w:highlight w:val="none"/>
              </w:rPr>
              <w:t>泵房积水报警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exact"/>
          <w:jc w:val="center"/>
        </w:trPr>
        <w:tc>
          <w:tcPr>
            <w:tcW w:w="1893" w:type="dxa"/>
            <w:vAlign w:val="center"/>
          </w:tcPr>
          <w:p>
            <w:pPr>
              <w:spacing w:line="360" w:lineRule="auto"/>
              <w:rPr>
                <w:sz w:val="18"/>
                <w:szCs w:val="18"/>
                <w:highlight w:val="none"/>
              </w:rPr>
            </w:pPr>
            <w:r>
              <w:rPr>
                <w:rFonts w:hint="eastAsia"/>
                <w:sz w:val="18"/>
                <w:szCs w:val="18"/>
                <w:highlight w:val="none"/>
              </w:rPr>
              <w:t>PLC可编程</w:t>
            </w:r>
          </w:p>
          <w:p>
            <w:pPr>
              <w:spacing w:line="360" w:lineRule="auto"/>
              <w:rPr>
                <w:sz w:val="18"/>
                <w:szCs w:val="18"/>
                <w:highlight w:val="none"/>
              </w:rPr>
            </w:pPr>
            <w:r>
              <w:rPr>
                <w:rFonts w:hint="eastAsia"/>
                <w:sz w:val="18"/>
                <w:szCs w:val="18"/>
                <w:highlight w:val="none"/>
              </w:rPr>
              <w:t>控制器</w:t>
            </w:r>
          </w:p>
        </w:tc>
        <w:tc>
          <w:tcPr>
            <w:tcW w:w="4044" w:type="dxa"/>
            <w:gridSpan w:val="2"/>
            <w:vAlign w:val="center"/>
          </w:tcPr>
          <w:p>
            <w:pPr>
              <w:spacing w:line="360" w:lineRule="auto"/>
              <w:rPr>
                <w:sz w:val="18"/>
                <w:szCs w:val="18"/>
                <w:highlight w:val="none"/>
              </w:rPr>
            </w:pPr>
            <w:r>
              <w:rPr>
                <w:rFonts w:hint="eastAsia"/>
                <w:sz w:val="18"/>
                <w:szCs w:val="18"/>
                <w:highlight w:val="none"/>
              </w:rPr>
              <w:t>S7-200 SMART</w:t>
            </w:r>
          </w:p>
        </w:tc>
        <w:tc>
          <w:tcPr>
            <w:tcW w:w="643" w:type="dxa"/>
            <w:gridSpan w:val="2"/>
            <w:vAlign w:val="center"/>
          </w:tcPr>
          <w:p>
            <w:pPr>
              <w:spacing w:line="360" w:lineRule="auto"/>
              <w:rPr>
                <w:sz w:val="18"/>
                <w:szCs w:val="18"/>
                <w:highlight w:val="none"/>
              </w:rPr>
            </w:pPr>
            <w:r>
              <w:rPr>
                <w:rFonts w:hint="eastAsia"/>
                <w:sz w:val="18"/>
                <w:szCs w:val="18"/>
                <w:highlight w:val="none"/>
              </w:rPr>
              <w:t>台</w:t>
            </w:r>
          </w:p>
        </w:tc>
        <w:tc>
          <w:tcPr>
            <w:tcW w:w="523" w:type="dxa"/>
            <w:gridSpan w:val="2"/>
            <w:vAlign w:val="center"/>
          </w:tcPr>
          <w:p>
            <w:pPr>
              <w:spacing w:line="360" w:lineRule="auto"/>
              <w:rPr>
                <w:sz w:val="18"/>
                <w:szCs w:val="18"/>
                <w:highlight w:val="none"/>
              </w:rPr>
            </w:pPr>
            <w:r>
              <w:rPr>
                <w:rFonts w:hint="eastAsia"/>
                <w:sz w:val="18"/>
                <w:szCs w:val="18"/>
                <w:highlight w:val="none"/>
              </w:rPr>
              <w:t>1</w:t>
            </w:r>
          </w:p>
        </w:tc>
        <w:tc>
          <w:tcPr>
            <w:tcW w:w="1849" w:type="dxa"/>
            <w:gridSpan w:val="2"/>
            <w:vMerge w:val="restart"/>
            <w:vAlign w:val="center"/>
          </w:tcPr>
          <w:p>
            <w:pPr>
              <w:spacing w:line="360" w:lineRule="auto"/>
              <w:rPr>
                <w:sz w:val="18"/>
                <w:szCs w:val="18"/>
                <w:highlight w:val="none"/>
              </w:rPr>
            </w:pPr>
            <w:r>
              <w:rPr>
                <w:rFonts w:hint="eastAsia"/>
                <w:sz w:val="18"/>
                <w:szCs w:val="18"/>
                <w:highlight w:val="none"/>
              </w:rPr>
              <w:t>智能控制系统，实现供水系统全自动运行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exact"/>
          <w:jc w:val="center"/>
        </w:trPr>
        <w:tc>
          <w:tcPr>
            <w:tcW w:w="1893" w:type="dxa"/>
            <w:vAlign w:val="center"/>
          </w:tcPr>
          <w:p>
            <w:pPr>
              <w:spacing w:line="360" w:lineRule="auto"/>
              <w:rPr>
                <w:sz w:val="18"/>
                <w:szCs w:val="18"/>
                <w:highlight w:val="none"/>
              </w:rPr>
            </w:pPr>
            <w:r>
              <w:rPr>
                <w:rFonts w:hint="eastAsia"/>
                <w:sz w:val="18"/>
                <w:szCs w:val="18"/>
                <w:highlight w:val="none"/>
              </w:rPr>
              <w:t>人机对话触摸屏</w:t>
            </w:r>
          </w:p>
        </w:tc>
        <w:tc>
          <w:tcPr>
            <w:tcW w:w="4044" w:type="dxa"/>
            <w:gridSpan w:val="2"/>
            <w:vAlign w:val="center"/>
          </w:tcPr>
          <w:p>
            <w:pPr>
              <w:spacing w:line="360" w:lineRule="auto"/>
              <w:rPr>
                <w:sz w:val="18"/>
                <w:szCs w:val="18"/>
                <w:highlight w:val="none"/>
              </w:rPr>
            </w:pPr>
            <w:r>
              <w:rPr>
                <w:rFonts w:hint="eastAsia"/>
                <w:sz w:val="18"/>
                <w:szCs w:val="18"/>
                <w:highlight w:val="none"/>
              </w:rPr>
              <w:t>SMART 1000IEV3（10寸）</w:t>
            </w:r>
          </w:p>
        </w:tc>
        <w:tc>
          <w:tcPr>
            <w:tcW w:w="643" w:type="dxa"/>
            <w:gridSpan w:val="2"/>
            <w:vAlign w:val="center"/>
          </w:tcPr>
          <w:p>
            <w:pPr>
              <w:spacing w:line="360" w:lineRule="auto"/>
              <w:rPr>
                <w:sz w:val="18"/>
                <w:szCs w:val="18"/>
                <w:highlight w:val="none"/>
              </w:rPr>
            </w:pPr>
            <w:r>
              <w:rPr>
                <w:rFonts w:hint="eastAsia"/>
                <w:sz w:val="18"/>
                <w:szCs w:val="18"/>
                <w:highlight w:val="none"/>
              </w:rPr>
              <w:t>台</w:t>
            </w:r>
          </w:p>
        </w:tc>
        <w:tc>
          <w:tcPr>
            <w:tcW w:w="523" w:type="dxa"/>
            <w:gridSpan w:val="2"/>
            <w:vAlign w:val="center"/>
          </w:tcPr>
          <w:p>
            <w:pPr>
              <w:spacing w:line="360" w:lineRule="auto"/>
              <w:rPr>
                <w:sz w:val="18"/>
                <w:szCs w:val="18"/>
                <w:highlight w:val="none"/>
              </w:rPr>
            </w:pPr>
            <w:r>
              <w:rPr>
                <w:rFonts w:hint="eastAsia"/>
                <w:sz w:val="18"/>
                <w:szCs w:val="18"/>
                <w:highlight w:val="none"/>
              </w:rPr>
              <w:t>1</w:t>
            </w: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exact"/>
          <w:jc w:val="center"/>
        </w:trPr>
        <w:tc>
          <w:tcPr>
            <w:tcW w:w="1893" w:type="dxa"/>
            <w:vAlign w:val="center"/>
          </w:tcPr>
          <w:p>
            <w:pPr>
              <w:spacing w:line="360" w:lineRule="auto"/>
              <w:rPr>
                <w:sz w:val="18"/>
                <w:szCs w:val="18"/>
                <w:highlight w:val="none"/>
              </w:rPr>
            </w:pPr>
            <w:r>
              <w:rPr>
                <w:rFonts w:hint="eastAsia"/>
                <w:sz w:val="18"/>
                <w:szCs w:val="18"/>
                <w:highlight w:val="none"/>
              </w:rPr>
              <w:t>模拟量输入输出模块</w:t>
            </w:r>
          </w:p>
        </w:tc>
        <w:tc>
          <w:tcPr>
            <w:tcW w:w="4044" w:type="dxa"/>
            <w:gridSpan w:val="2"/>
            <w:vAlign w:val="center"/>
          </w:tcPr>
          <w:p>
            <w:pPr>
              <w:spacing w:line="360" w:lineRule="auto"/>
              <w:rPr>
                <w:color w:val="FF0000"/>
                <w:sz w:val="18"/>
                <w:szCs w:val="18"/>
                <w:highlight w:val="none"/>
              </w:rPr>
            </w:pPr>
            <w:r>
              <w:rPr>
                <w:rFonts w:hint="eastAsia"/>
                <w:sz w:val="18"/>
                <w:szCs w:val="18"/>
                <w:highlight w:val="none"/>
              </w:rPr>
              <w:t>压力信号的接收和发送</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23" w:type="dxa"/>
            <w:gridSpan w:val="2"/>
            <w:vAlign w:val="center"/>
          </w:tcPr>
          <w:p>
            <w:pPr>
              <w:spacing w:line="360" w:lineRule="auto"/>
              <w:rPr>
                <w:sz w:val="18"/>
                <w:szCs w:val="18"/>
                <w:highlight w:val="none"/>
              </w:rPr>
            </w:pPr>
            <w:r>
              <w:rPr>
                <w:rFonts w:hint="eastAsia"/>
                <w:sz w:val="18"/>
                <w:szCs w:val="18"/>
                <w:highlight w:val="none"/>
              </w:rPr>
              <w:t>1</w:t>
            </w: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1893" w:type="dxa"/>
            <w:vAlign w:val="center"/>
          </w:tcPr>
          <w:p>
            <w:pPr>
              <w:spacing w:line="360" w:lineRule="auto"/>
              <w:rPr>
                <w:sz w:val="18"/>
                <w:szCs w:val="18"/>
                <w:highlight w:val="none"/>
              </w:rPr>
            </w:pPr>
            <w:r>
              <w:rPr>
                <w:rFonts w:hint="eastAsia"/>
                <w:sz w:val="18"/>
                <w:szCs w:val="18"/>
                <w:highlight w:val="none"/>
              </w:rPr>
              <w:t>操作系统</w:t>
            </w:r>
          </w:p>
        </w:tc>
        <w:tc>
          <w:tcPr>
            <w:tcW w:w="4044" w:type="dxa"/>
            <w:gridSpan w:val="2"/>
            <w:vAlign w:val="center"/>
          </w:tcPr>
          <w:p>
            <w:pPr>
              <w:spacing w:line="360" w:lineRule="auto"/>
              <w:rPr>
                <w:color w:val="FF0000"/>
                <w:sz w:val="18"/>
                <w:szCs w:val="18"/>
                <w:highlight w:val="none"/>
              </w:rPr>
            </w:pPr>
            <w:r>
              <w:rPr>
                <w:rFonts w:hint="eastAsia"/>
                <w:sz w:val="18"/>
                <w:szCs w:val="18"/>
                <w:highlight w:val="none"/>
              </w:rPr>
              <w:t>SIMENS CE .NET</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23" w:type="dxa"/>
            <w:gridSpan w:val="2"/>
            <w:vAlign w:val="center"/>
          </w:tcPr>
          <w:p>
            <w:pPr>
              <w:spacing w:line="360" w:lineRule="auto"/>
              <w:rPr>
                <w:sz w:val="18"/>
                <w:szCs w:val="18"/>
                <w:highlight w:val="none"/>
              </w:rPr>
            </w:pPr>
            <w:r>
              <w:rPr>
                <w:rFonts w:hint="eastAsia"/>
                <w:sz w:val="18"/>
                <w:szCs w:val="18"/>
                <w:highlight w:val="none"/>
              </w:rPr>
              <w:t>1</w:t>
            </w:r>
          </w:p>
        </w:tc>
        <w:tc>
          <w:tcPr>
            <w:tcW w:w="1849" w:type="dxa"/>
            <w:gridSpan w:val="2"/>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1893" w:type="dxa"/>
            <w:vMerge w:val="restart"/>
            <w:vAlign w:val="center"/>
          </w:tcPr>
          <w:p>
            <w:pPr>
              <w:spacing w:line="360" w:lineRule="auto"/>
              <w:rPr>
                <w:sz w:val="18"/>
                <w:szCs w:val="18"/>
                <w:highlight w:val="none"/>
              </w:rPr>
            </w:pPr>
            <w:r>
              <w:rPr>
                <w:rFonts w:hint="eastAsia"/>
                <w:sz w:val="18"/>
                <w:szCs w:val="18"/>
                <w:highlight w:val="none"/>
              </w:rPr>
              <w:t>主控程序软件</w:t>
            </w:r>
          </w:p>
        </w:tc>
        <w:tc>
          <w:tcPr>
            <w:tcW w:w="4044" w:type="dxa"/>
            <w:gridSpan w:val="2"/>
            <w:vAlign w:val="center"/>
          </w:tcPr>
          <w:p>
            <w:pPr>
              <w:spacing w:line="360" w:lineRule="auto"/>
              <w:rPr>
                <w:sz w:val="18"/>
                <w:szCs w:val="18"/>
                <w:highlight w:val="none"/>
              </w:rPr>
            </w:pPr>
            <w:r>
              <w:rPr>
                <w:rFonts w:hint="eastAsia"/>
                <w:sz w:val="18"/>
                <w:szCs w:val="18"/>
                <w:highlight w:val="none"/>
              </w:rPr>
              <w:t>SYK-C-QBG</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23" w:type="dxa"/>
            <w:gridSpan w:val="2"/>
            <w:vAlign w:val="center"/>
          </w:tcPr>
          <w:p>
            <w:pPr>
              <w:spacing w:line="360" w:lineRule="auto"/>
              <w:rPr>
                <w:sz w:val="18"/>
                <w:szCs w:val="18"/>
                <w:highlight w:val="none"/>
              </w:rPr>
            </w:pPr>
            <w:r>
              <w:rPr>
                <w:rFonts w:hint="eastAsia"/>
                <w:sz w:val="18"/>
                <w:szCs w:val="18"/>
                <w:highlight w:val="none"/>
              </w:rPr>
              <w:t>1</w:t>
            </w:r>
          </w:p>
        </w:tc>
        <w:tc>
          <w:tcPr>
            <w:tcW w:w="1849" w:type="dxa"/>
            <w:gridSpan w:val="2"/>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1893" w:type="dxa"/>
            <w:vMerge w:val="continue"/>
            <w:vAlign w:val="center"/>
          </w:tcPr>
          <w:p>
            <w:pPr>
              <w:spacing w:line="360" w:lineRule="auto"/>
              <w:rPr>
                <w:sz w:val="18"/>
                <w:szCs w:val="18"/>
                <w:highlight w:val="none"/>
              </w:rPr>
            </w:pPr>
          </w:p>
        </w:tc>
        <w:tc>
          <w:tcPr>
            <w:tcW w:w="4044" w:type="dxa"/>
            <w:gridSpan w:val="2"/>
            <w:vAlign w:val="center"/>
          </w:tcPr>
          <w:p>
            <w:pPr>
              <w:spacing w:line="360" w:lineRule="auto"/>
              <w:rPr>
                <w:sz w:val="18"/>
                <w:szCs w:val="18"/>
                <w:highlight w:val="none"/>
              </w:rPr>
            </w:pPr>
            <w:r>
              <w:rPr>
                <w:rFonts w:hint="eastAsia"/>
                <w:sz w:val="18"/>
                <w:szCs w:val="18"/>
                <w:highlight w:val="none"/>
              </w:rPr>
              <w:t>上源供水设备智能变频控制软件V</w:t>
            </w:r>
            <w:r>
              <w:rPr>
                <w:sz w:val="18"/>
                <w:szCs w:val="18"/>
                <w:highlight w:val="none"/>
              </w:rPr>
              <w:t>3</w:t>
            </w:r>
            <w:r>
              <w:rPr>
                <w:rFonts w:hint="eastAsia"/>
                <w:sz w:val="18"/>
                <w:szCs w:val="18"/>
                <w:highlight w:val="none"/>
              </w:rPr>
              <w:t>.</w:t>
            </w:r>
            <w:r>
              <w:rPr>
                <w:sz w:val="18"/>
                <w:szCs w:val="18"/>
                <w:highlight w:val="none"/>
              </w:rPr>
              <w:t>0</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23" w:type="dxa"/>
            <w:gridSpan w:val="2"/>
            <w:vAlign w:val="center"/>
          </w:tcPr>
          <w:p>
            <w:pPr>
              <w:spacing w:line="360" w:lineRule="auto"/>
              <w:rPr>
                <w:sz w:val="18"/>
                <w:szCs w:val="18"/>
                <w:highlight w:val="none"/>
              </w:rPr>
            </w:pPr>
            <w:r>
              <w:rPr>
                <w:rFonts w:hint="eastAsia"/>
                <w:sz w:val="18"/>
                <w:szCs w:val="18"/>
                <w:highlight w:val="none"/>
              </w:rPr>
              <w:t>1</w:t>
            </w:r>
          </w:p>
        </w:tc>
        <w:tc>
          <w:tcPr>
            <w:tcW w:w="1849" w:type="dxa"/>
            <w:gridSpan w:val="2"/>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jc w:val="center"/>
        </w:trPr>
        <w:tc>
          <w:tcPr>
            <w:tcW w:w="1893" w:type="dxa"/>
            <w:tcBorders>
              <w:top w:val="single" w:color="auto" w:sz="4" w:space="0"/>
            </w:tcBorders>
            <w:vAlign w:val="center"/>
          </w:tcPr>
          <w:p>
            <w:pPr>
              <w:spacing w:line="360" w:lineRule="auto"/>
              <w:rPr>
                <w:sz w:val="18"/>
                <w:szCs w:val="18"/>
                <w:highlight w:val="none"/>
              </w:rPr>
            </w:pPr>
            <w:r>
              <w:rPr>
                <w:rFonts w:hint="eastAsia"/>
                <w:sz w:val="18"/>
                <w:szCs w:val="18"/>
                <w:highlight w:val="none"/>
              </w:rPr>
              <w:t>爆管保护系统</w:t>
            </w:r>
          </w:p>
        </w:tc>
        <w:tc>
          <w:tcPr>
            <w:tcW w:w="4044" w:type="dxa"/>
            <w:gridSpan w:val="2"/>
            <w:tcBorders>
              <w:top w:val="single" w:color="auto" w:sz="4" w:space="0"/>
            </w:tcBorders>
            <w:vAlign w:val="center"/>
          </w:tcPr>
          <w:p>
            <w:pPr>
              <w:spacing w:line="360" w:lineRule="auto"/>
              <w:rPr>
                <w:sz w:val="18"/>
                <w:szCs w:val="18"/>
                <w:highlight w:val="none"/>
              </w:rPr>
            </w:pPr>
            <w:r>
              <w:rPr>
                <w:rFonts w:hint="eastAsia"/>
                <w:sz w:val="18"/>
                <w:szCs w:val="18"/>
                <w:highlight w:val="none"/>
              </w:rPr>
              <w:t>CDSYS，爆管时自动停机保护</w:t>
            </w:r>
          </w:p>
        </w:tc>
        <w:tc>
          <w:tcPr>
            <w:tcW w:w="643" w:type="dxa"/>
            <w:gridSpan w:val="2"/>
            <w:tcBorders>
              <w:top w:val="single" w:color="auto" w:sz="4" w:space="0"/>
            </w:tcBorders>
            <w:vAlign w:val="center"/>
          </w:tcPr>
          <w:p>
            <w:pPr>
              <w:spacing w:line="360" w:lineRule="auto"/>
              <w:rPr>
                <w:sz w:val="18"/>
                <w:szCs w:val="18"/>
                <w:highlight w:val="none"/>
              </w:rPr>
            </w:pPr>
            <w:r>
              <w:rPr>
                <w:rFonts w:hint="eastAsia"/>
                <w:sz w:val="18"/>
                <w:szCs w:val="18"/>
                <w:highlight w:val="none"/>
              </w:rPr>
              <w:t>套</w:t>
            </w:r>
          </w:p>
        </w:tc>
        <w:tc>
          <w:tcPr>
            <w:tcW w:w="560" w:type="dxa"/>
            <w:gridSpan w:val="3"/>
            <w:tcBorders>
              <w:top w:val="single" w:color="auto" w:sz="4" w:space="0"/>
            </w:tcBorders>
            <w:vAlign w:val="center"/>
          </w:tcPr>
          <w:p>
            <w:pPr>
              <w:spacing w:line="360" w:lineRule="auto"/>
              <w:rPr>
                <w:sz w:val="18"/>
                <w:szCs w:val="18"/>
                <w:highlight w:val="none"/>
              </w:rPr>
            </w:pPr>
            <w:r>
              <w:rPr>
                <w:rFonts w:hint="eastAsia"/>
                <w:sz w:val="18"/>
                <w:szCs w:val="18"/>
                <w:highlight w:val="none"/>
              </w:rPr>
              <w:t>1</w:t>
            </w:r>
          </w:p>
        </w:tc>
        <w:tc>
          <w:tcPr>
            <w:tcW w:w="1812" w:type="dxa"/>
            <w:vMerge w:val="restart"/>
            <w:tcBorders>
              <w:top w:val="single" w:color="auto" w:sz="4" w:space="0"/>
            </w:tcBorders>
            <w:vAlign w:val="center"/>
          </w:tcPr>
          <w:p>
            <w:pPr>
              <w:spacing w:line="360" w:lineRule="auto"/>
              <w:rPr>
                <w:sz w:val="18"/>
                <w:szCs w:val="18"/>
                <w:highlight w:val="none"/>
              </w:rPr>
            </w:pPr>
            <w:r>
              <w:rPr>
                <w:rFonts w:hint="eastAsia"/>
                <w:sz w:val="18"/>
                <w:szCs w:val="18"/>
                <w:highlight w:val="none"/>
              </w:rPr>
              <w:t>确保供水系统在各种极端情况下的运行安全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exact"/>
          <w:jc w:val="center"/>
        </w:trPr>
        <w:tc>
          <w:tcPr>
            <w:tcW w:w="1893" w:type="dxa"/>
            <w:vAlign w:val="center"/>
          </w:tcPr>
          <w:p>
            <w:pPr>
              <w:spacing w:line="360" w:lineRule="auto"/>
              <w:rPr>
                <w:sz w:val="18"/>
                <w:szCs w:val="18"/>
                <w:highlight w:val="none"/>
              </w:rPr>
            </w:pPr>
            <w:r>
              <w:rPr>
                <w:rFonts w:hint="eastAsia"/>
                <w:sz w:val="18"/>
                <w:szCs w:val="18"/>
                <w:highlight w:val="none"/>
              </w:rPr>
              <w:t>无水保护系统</w:t>
            </w:r>
          </w:p>
        </w:tc>
        <w:tc>
          <w:tcPr>
            <w:tcW w:w="4044" w:type="dxa"/>
            <w:gridSpan w:val="2"/>
            <w:vAlign w:val="center"/>
          </w:tcPr>
          <w:p>
            <w:pPr>
              <w:spacing w:line="360" w:lineRule="auto"/>
              <w:rPr>
                <w:sz w:val="18"/>
                <w:szCs w:val="18"/>
                <w:highlight w:val="none"/>
              </w:rPr>
            </w:pPr>
            <w:r>
              <w:rPr>
                <w:rFonts w:hint="eastAsia"/>
                <w:sz w:val="18"/>
                <w:szCs w:val="18"/>
                <w:highlight w:val="none"/>
              </w:rPr>
              <w:t>CGSYS，水箱无水时自动保护停机，有水时自动恢复运行</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exact"/>
          <w:jc w:val="center"/>
        </w:trPr>
        <w:tc>
          <w:tcPr>
            <w:tcW w:w="1893" w:type="dxa"/>
            <w:vAlign w:val="center"/>
          </w:tcPr>
          <w:p>
            <w:pPr>
              <w:spacing w:line="360" w:lineRule="auto"/>
              <w:rPr>
                <w:sz w:val="18"/>
                <w:szCs w:val="18"/>
                <w:highlight w:val="none"/>
              </w:rPr>
            </w:pPr>
            <w:r>
              <w:rPr>
                <w:rFonts w:hint="eastAsia"/>
                <w:sz w:val="18"/>
                <w:szCs w:val="18"/>
                <w:highlight w:val="none"/>
              </w:rPr>
              <w:t>相序保护系统</w:t>
            </w:r>
          </w:p>
        </w:tc>
        <w:tc>
          <w:tcPr>
            <w:tcW w:w="4044" w:type="dxa"/>
            <w:gridSpan w:val="2"/>
            <w:vAlign w:val="center"/>
          </w:tcPr>
          <w:p>
            <w:pPr>
              <w:spacing w:line="360" w:lineRule="auto"/>
              <w:rPr>
                <w:sz w:val="18"/>
                <w:szCs w:val="18"/>
                <w:highlight w:val="none"/>
              </w:rPr>
            </w:pPr>
            <w:r>
              <w:rPr>
                <w:rFonts w:hint="eastAsia"/>
                <w:sz w:val="18"/>
                <w:szCs w:val="18"/>
                <w:highlight w:val="none"/>
              </w:rPr>
              <w:t>JXMOD，相序错乱时自动停机保护</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exact"/>
          <w:jc w:val="center"/>
        </w:trPr>
        <w:tc>
          <w:tcPr>
            <w:tcW w:w="1893" w:type="dxa"/>
            <w:vAlign w:val="center"/>
          </w:tcPr>
          <w:p>
            <w:pPr>
              <w:spacing w:line="360" w:lineRule="auto"/>
              <w:rPr>
                <w:sz w:val="18"/>
                <w:szCs w:val="18"/>
                <w:highlight w:val="none"/>
              </w:rPr>
            </w:pPr>
            <w:r>
              <w:rPr>
                <w:rFonts w:hint="eastAsia"/>
                <w:sz w:val="18"/>
                <w:szCs w:val="18"/>
                <w:highlight w:val="none"/>
              </w:rPr>
              <w:t>应急供水系统</w:t>
            </w:r>
          </w:p>
        </w:tc>
        <w:tc>
          <w:tcPr>
            <w:tcW w:w="4044" w:type="dxa"/>
            <w:gridSpan w:val="2"/>
            <w:vAlign w:val="center"/>
          </w:tcPr>
          <w:p>
            <w:pPr>
              <w:spacing w:line="360" w:lineRule="auto"/>
              <w:rPr>
                <w:sz w:val="18"/>
                <w:szCs w:val="18"/>
                <w:highlight w:val="none"/>
              </w:rPr>
            </w:pPr>
            <w:r>
              <w:rPr>
                <w:rFonts w:hint="eastAsia"/>
                <w:sz w:val="18"/>
                <w:szCs w:val="18"/>
                <w:highlight w:val="none"/>
              </w:rPr>
              <w:t>HPSYS，变频器PLC故障时设备应急运行，保障检修时用户依然不停水</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exact"/>
          <w:jc w:val="center"/>
        </w:trPr>
        <w:tc>
          <w:tcPr>
            <w:tcW w:w="1893" w:type="dxa"/>
            <w:vAlign w:val="center"/>
          </w:tcPr>
          <w:p>
            <w:pPr>
              <w:spacing w:line="360" w:lineRule="auto"/>
              <w:rPr>
                <w:sz w:val="18"/>
                <w:szCs w:val="18"/>
                <w:highlight w:val="none"/>
              </w:rPr>
            </w:pPr>
            <w:r>
              <w:rPr>
                <w:rFonts w:hint="eastAsia"/>
                <w:sz w:val="18"/>
                <w:szCs w:val="18"/>
                <w:highlight w:val="none"/>
              </w:rPr>
              <w:t>远程监控系统</w:t>
            </w:r>
          </w:p>
        </w:tc>
        <w:tc>
          <w:tcPr>
            <w:tcW w:w="4044" w:type="dxa"/>
            <w:gridSpan w:val="2"/>
            <w:vAlign w:val="center"/>
          </w:tcPr>
          <w:p>
            <w:pPr>
              <w:spacing w:line="360" w:lineRule="auto"/>
              <w:rPr>
                <w:color w:val="FF0000"/>
                <w:sz w:val="18"/>
                <w:szCs w:val="18"/>
                <w:highlight w:val="none"/>
              </w:rPr>
            </w:pPr>
            <w:r>
              <w:rPr>
                <w:rFonts w:hint="eastAsia"/>
                <w:sz w:val="18"/>
                <w:szCs w:val="18"/>
                <w:highlight w:val="none"/>
              </w:rPr>
              <w:t>CLOUDPUMPS，对设备进行远程监控，实现无人值守，能通过PC端及手机APP账号密码进行登录</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Merge w:val="restart"/>
            <w:vAlign w:val="center"/>
          </w:tcPr>
          <w:p>
            <w:pPr>
              <w:spacing w:line="360" w:lineRule="auto"/>
              <w:rPr>
                <w:sz w:val="18"/>
                <w:szCs w:val="18"/>
                <w:highlight w:val="none"/>
              </w:rPr>
            </w:pPr>
            <w:r>
              <w:rPr>
                <w:rFonts w:hint="eastAsia"/>
                <w:sz w:val="18"/>
                <w:szCs w:val="18"/>
                <w:highlight w:val="none"/>
              </w:rPr>
              <w:t>供水系统的远程监控，故障自动报警，实现无人值守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exact"/>
          <w:jc w:val="center"/>
        </w:trPr>
        <w:tc>
          <w:tcPr>
            <w:tcW w:w="1893" w:type="dxa"/>
            <w:vAlign w:val="center"/>
          </w:tcPr>
          <w:p>
            <w:pPr>
              <w:spacing w:line="360" w:lineRule="auto"/>
              <w:rPr>
                <w:sz w:val="18"/>
                <w:szCs w:val="18"/>
                <w:highlight w:val="none"/>
              </w:rPr>
            </w:pPr>
            <w:r>
              <w:rPr>
                <w:rFonts w:hint="eastAsia"/>
                <w:sz w:val="18"/>
                <w:szCs w:val="18"/>
                <w:highlight w:val="none"/>
              </w:rPr>
              <w:t>数据传输系统</w:t>
            </w:r>
          </w:p>
        </w:tc>
        <w:tc>
          <w:tcPr>
            <w:tcW w:w="4044" w:type="dxa"/>
            <w:gridSpan w:val="2"/>
            <w:vAlign w:val="center"/>
          </w:tcPr>
          <w:p>
            <w:pPr>
              <w:spacing w:line="360" w:lineRule="auto"/>
              <w:rPr>
                <w:color w:val="FF0000"/>
                <w:sz w:val="18"/>
                <w:szCs w:val="18"/>
                <w:highlight w:val="none"/>
              </w:rPr>
            </w:pPr>
            <w:r>
              <w:rPr>
                <w:rFonts w:hint="eastAsia"/>
                <w:sz w:val="18"/>
                <w:szCs w:val="18"/>
                <w:highlight w:val="none"/>
              </w:rPr>
              <w:t>M500，支持三模4G无线传输，自带VPN以太网通讯接口，内含SIM卡及12个月运行数据流量包</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exact"/>
          <w:jc w:val="center"/>
        </w:trPr>
        <w:tc>
          <w:tcPr>
            <w:tcW w:w="1893" w:type="dxa"/>
            <w:vAlign w:val="center"/>
          </w:tcPr>
          <w:p>
            <w:pPr>
              <w:spacing w:line="360" w:lineRule="auto"/>
              <w:rPr>
                <w:sz w:val="18"/>
                <w:szCs w:val="18"/>
                <w:highlight w:val="none"/>
              </w:rPr>
            </w:pPr>
            <w:r>
              <w:rPr>
                <w:rFonts w:hint="eastAsia"/>
                <w:sz w:val="18"/>
                <w:szCs w:val="18"/>
                <w:highlight w:val="none"/>
              </w:rPr>
              <w:t>智能变频控制柜</w:t>
            </w:r>
          </w:p>
        </w:tc>
        <w:tc>
          <w:tcPr>
            <w:tcW w:w="4044" w:type="dxa"/>
            <w:gridSpan w:val="2"/>
            <w:vAlign w:val="center"/>
          </w:tcPr>
          <w:p>
            <w:pPr>
              <w:spacing w:line="360" w:lineRule="auto"/>
              <w:rPr>
                <w:sz w:val="18"/>
                <w:szCs w:val="18"/>
                <w:highlight w:val="none"/>
              </w:rPr>
            </w:pPr>
            <w:r>
              <w:rPr>
                <w:rFonts w:hint="eastAsia"/>
                <w:sz w:val="18"/>
                <w:szCs w:val="18"/>
                <w:highlight w:val="none"/>
              </w:rPr>
              <w:t>SYK-C-</w:t>
            </w:r>
            <w:r>
              <w:rPr>
                <w:sz w:val="18"/>
                <w:szCs w:val="18"/>
                <w:highlight w:val="none"/>
              </w:rPr>
              <w:t>5</w:t>
            </w:r>
            <w:r>
              <w:rPr>
                <w:rFonts w:hint="eastAsia"/>
                <w:sz w:val="18"/>
                <w:szCs w:val="18"/>
                <w:highlight w:val="none"/>
              </w:rPr>
              <w:t>.</w:t>
            </w:r>
            <w:r>
              <w:rPr>
                <w:sz w:val="18"/>
                <w:szCs w:val="18"/>
                <w:highlight w:val="none"/>
              </w:rPr>
              <w:t>5</w:t>
            </w:r>
            <w:r>
              <w:rPr>
                <w:rFonts w:hint="eastAsia"/>
                <w:sz w:val="18"/>
                <w:szCs w:val="18"/>
                <w:highlight w:val="none"/>
              </w:rPr>
              <w:t>-</w:t>
            </w:r>
            <w:r>
              <w:rPr>
                <w:sz w:val="18"/>
                <w:szCs w:val="18"/>
                <w:highlight w:val="none"/>
              </w:rPr>
              <w:t>3</w:t>
            </w:r>
            <w:r>
              <w:rPr>
                <w:rFonts w:hint="eastAsia"/>
                <w:sz w:val="18"/>
                <w:szCs w:val="18"/>
                <w:highlight w:val="none"/>
              </w:rPr>
              <w:t>，一控三</w:t>
            </w:r>
          </w:p>
        </w:tc>
        <w:tc>
          <w:tcPr>
            <w:tcW w:w="643" w:type="dxa"/>
            <w:gridSpan w:val="2"/>
            <w:vAlign w:val="center"/>
          </w:tcPr>
          <w:p>
            <w:pPr>
              <w:spacing w:line="360" w:lineRule="auto"/>
              <w:rPr>
                <w:sz w:val="18"/>
                <w:szCs w:val="18"/>
                <w:highlight w:val="none"/>
              </w:rPr>
            </w:pPr>
            <w:r>
              <w:rPr>
                <w:rFonts w:hint="eastAsia"/>
                <w:sz w:val="18"/>
                <w:szCs w:val="18"/>
                <w:highlight w:val="none"/>
              </w:rPr>
              <w:t>个</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Align w:val="center"/>
          </w:tcPr>
          <w:p>
            <w:pPr>
              <w:spacing w:line="360" w:lineRule="auto"/>
              <w:rPr>
                <w:sz w:val="18"/>
                <w:szCs w:val="18"/>
                <w:highlight w:val="none"/>
              </w:rPr>
            </w:pPr>
            <w:r>
              <w:rPr>
                <w:rFonts w:hint="eastAsia"/>
                <w:sz w:val="18"/>
                <w:szCs w:val="18"/>
                <w:highlight w:val="none"/>
              </w:rPr>
              <w:t>高标准平行布线工艺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ABB变频器</w:t>
            </w:r>
          </w:p>
        </w:tc>
        <w:tc>
          <w:tcPr>
            <w:tcW w:w="4044" w:type="dxa"/>
            <w:gridSpan w:val="2"/>
            <w:vAlign w:val="center"/>
          </w:tcPr>
          <w:p>
            <w:pPr>
              <w:spacing w:line="360" w:lineRule="auto"/>
              <w:rPr>
                <w:sz w:val="18"/>
                <w:szCs w:val="18"/>
                <w:highlight w:val="none"/>
              </w:rPr>
            </w:pPr>
            <w:r>
              <w:rPr>
                <w:rFonts w:hint="eastAsia"/>
                <w:sz w:val="18"/>
                <w:szCs w:val="18"/>
                <w:highlight w:val="none"/>
              </w:rPr>
              <w:t>ACS510</w:t>
            </w:r>
          </w:p>
        </w:tc>
        <w:tc>
          <w:tcPr>
            <w:tcW w:w="643" w:type="dxa"/>
            <w:gridSpan w:val="2"/>
            <w:vAlign w:val="center"/>
          </w:tcPr>
          <w:p>
            <w:pPr>
              <w:spacing w:line="360" w:lineRule="auto"/>
              <w:rPr>
                <w:sz w:val="18"/>
                <w:szCs w:val="18"/>
                <w:highlight w:val="none"/>
              </w:rPr>
            </w:pPr>
            <w:r>
              <w:rPr>
                <w:rFonts w:hint="eastAsia"/>
                <w:sz w:val="18"/>
                <w:szCs w:val="18"/>
                <w:highlight w:val="none"/>
              </w:rPr>
              <w:t>台</w:t>
            </w:r>
          </w:p>
        </w:tc>
        <w:tc>
          <w:tcPr>
            <w:tcW w:w="560" w:type="dxa"/>
            <w:gridSpan w:val="3"/>
            <w:vAlign w:val="center"/>
          </w:tcPr>
          <w:p>
            <w:pPr>
              <w:spacing w:line="360" w:lineRule="auto"/>
              <w:rPr>
                <w:sz w:val="18"/>
                <w:szCs w:val="18"/>
                <w:highlight w:val="none"/>
              </w:rPr>
            </w:pPr>
            <w:r>
              <w:rPr>
                <w:sz w:val="18"/>
                <w:szCs w:val="18"/>
                <w:highlight w:val="none"/>
              </w:rPr>
              <w:t>3</w:t>
            </w:r>
          </w:p>
        </w:tc>
        <w:tc>
          <w:tcPr>
            <w:tcW w:w="1812" w:type="dxa"/>
            <w:vMerge w:val="restart"/>
            <w:vAlign w:val="center"/>
          </w:tcPr>
          <w:p>
            <w:pPr>
              <w:spacing w:line="360" w:lineRule="auto"/>
              <w:rPr>
                <w:sz w:val="18"/>
                <w:szCs w:val="18"/>
                <w:highlight w:val="none"/>
              </w:rPr>
            </w:pPr>
          </w:p>
          <w:p>
            <w:pPr>
              <w:spacing w:line="360" w:lineRule="auto"/>
              <w:rPr>
                <w:sz w:val="18"/>
                <w:szCs w:val="18"/>
                <w:highlight w:val="none"/>
              </w:rPr>
            </w:pPr>
            <w:r>
              <w:rPr>
                <w:rFonts w:hint="eastAsia"/>
                <w:sz w:val="18"/>
                <w:szCs w:val="18"/>
                <w:highlight w:val="none"/>
              </w:rPr>
              <w:t>国标起帆电线电缆</w:t>
            </w:r>
          </w:p>
          <w:p>
            <w:pPr>
              <w:spacing w:line="360" w:lineRule="auto"/>
              <w:rPr>
                <w:sz w:val="18"/>
                <w:szCs w:val="18"/>
                <w:highlight w:val="none"/>
              </w:rPr>
            </w:pPr>
          </w:p>
          <w:p>
            <w:pPr>
              <w:spacing w:line="360" w:lineRule="auto"/>
              <w:rPr>
                <w:sz w:val="18"/>
                <w:szCs w:val="18"/>
                <w:highlight w:val="none"/>
              </w:rPr>
            </w:pPr>
            <w:r>
              <w:rPr>
                <w:rFonts w:hint="eastAsia"/>
                <w:sz w:val="18"/>
                <w:szCs w:val="18"/>
                <w:highlight w:val="none"/>
              </w:rPr>
              <w:t>柜体为同类产品加厚板材</w:t>
            </w:r>
          </w:p>
          <w:p>
            <w:pPr>
              <w:spacing w:line="360" w:lineRule="auto"/>
              <w:rPr>
                <w:sz w:val="18"/>
                <w:szCs w:val="18"/>
                <w:highlight w:val="none"/>
              </w:rPr>
            </w:pPr>
          </w:p>
          <w:p>
            <w:pPr>
              <w:spacing w:line="360" w:lineRule="auto"/>
              <w:rPr>
                <w:sz w:val="18"/>
                <w:szCs w:val="18"/>
                <w:highlight w:val="none"/>
              </w:rPr>
            </w:pPr>
            <w:r>
              <w:rPr>
                <w:rFonts w:hint="eastAsia"/>
                <w:sz w:val="18"/>
                <w:szCs w:val="18"/>
                <w:highlight w:val="none"/>
              </w:rPr>
              <w:t>主要元器件标配国际品牌</w:t>
            </w:r>
          </w:p>
          <w:p>
            <w:pPr>
              <w:spacing w:line="360" w:lineRule="auto"/>
              <w:rPr>
                <w:sz w:val="18"/>
                <w:szCs w:val="18"/>
                <w:highlight w:val="none"/>
              </w:rPr>
            </w:pPr>
          </w:p>
          <w:p>
            <w:pPr>
              <w:spacing w:line="360" w:lineRule="auto"/>
              <w:rPr>
                <w:sz w:val="18"/>
                <w:szCs w:val="18"/>
                <w:highlight w:val="none"/>
              </w:rPr>
            </w:pPr>
            <w:r>
              <w:rPr>
                <w:rFonts w:hint="eastAsia"/>
                <w:sz w:val="18"/>
                <w:szCs w:val="18"/>
                <w:highlight w:val="none"/>
              </w:rPr>
              <w:t>操作界面具有优越的交互体验，人性化设置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变频器控制面板</w:t>
            </w:r>
          </w:p>
        </w:tc>
        <w:tc>
          <w:tcPr>
            <w:tcW w:w="4044" w:type="dxa"/>
            <w:gridSpan w:val="2"/>
            <w:vAlign w:val="center"/>
          </w:tcPr>
          <w:p>
            <w:pPr>
              <w:spacing w:line="360" w:lineRule="auto"/>
              <w:rPr>
                <w:sz w:val="18"/>
                <w:szCs w:val="18"/>
                <w:highlight w:val="none"/>
              </w:rPr>
            </w:pPr>
            <w:r>
              <w:rPr>
                <w:rFonts w:hint="eastAsia"/>
                <w:sz w:val="18"/>
                <w:szCs w:val="18"/>
                <w:highlight w:val="none"/>
              </w:rPr>
              <w:t>ACS-CP-C</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sz w:val="18"/>
                <w:szCs w:val="18"/>
                <w:highlight w:val="none"/>
              </w:rPr>
              <w:t>3</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塑壳断路器</w:t>
            </w:r>
          </w:p>
        </w:tc>
        <w:tc>
          <w:tcPr>
            <w:tcW w:w="4044" w:type="dxa"/>
            <w:gridSpan w:val="2"/>
            <w:vAlign w:val="center"/>
          </w:tcPr>
          <w:p>
            <w:pPr>
              <w:spacing w:line="360" w:lineRule="auto"/>
              <w:rPr>
                <w:sz w:val="18"/>
                <w:szCs w:val="18"/>
                <w:highlight w:val="none"/>
              </w:rPr>
            </w:pPr>
            <w:r>
              <w:rPr>
                <w:rFonts w:hint="eastAsia"/>
                <w:sz w:val="18"/>
                <w:szCs w:val="18"/>
                <w:highlight w:val="none"/>
              </w:rPr>
              <w:t>主电路的控制与保护</w:t>
            </w:r>
          </w:p>
        </w:tc>
        <w:tc>
          <w:tcPr>
            <w:tcW w:w="643" w:type="dxa"/>
            <w:gridSpan w:val="2"/>
            <w:vMerge w:val="restart"/>
            <w:vAlign w:val="center"/>
          </w:tcPr>
          <w:p>
            <w:pPr>
              <w:spacing w:line="360" w:lineRule="auto"/>
              <w:rPr>
                <w:sz w:val="18"/>
                <w:szCs w:val="18"/>
                <w:highlight w:val="none"/>
              </w:rPr>
            </w:pPr>
            <w:r>
              <w:rPr>
                <w:rFonts w:hint="eastAsia"/>
                <w:sz w:val="18"/>
                <w:szCs w:val="18"/>
                <w:highlight w:val="none"/>
              </w:rPr>
              <w:t>套</w:t>
            </w:r>
          </w:p>
        </w:tc>
        <w:tc>
          <w:tcPr>
            <w:tcW w:w="560" w:type="dxa"/>
            <w:gridSpan w:val="3"/>
            <w:vMerge w:val="restart"/>
            <w:vAlign w:val="center"/>
          </w:tcPr>
          <w:p>
            <w:pPr>
              <w:spacing w:line="360" w:lineRule="auto"/>
              <w:rPr>
                <w:sz w:val="18"/>
                <w:szCs w:val="18"/>
                <w:highlight w:val="none"/>
              </w:rPr>
            </w:pPr>
            <w:r>
              <w:rPr>
                <w:rFonts w:hint="eastAsia"/>
                <w:sz w:val="18"/>
                <w:szCs w:val="18"/>
                <w:highlight w:val="none"/>
              </w:rPr>
              <w:t>1</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空气断路器</w:t>
            </w:r>
          </w:p>
        </w:tc>
        <w:tc>
          <w:tcPr>
            <w:tcW w:w="4044" w:type="dxa"/>
            <w:gridSpan w:val="2"/>
            <w:vAlign w:val="center"/>
          </w:tcPr>
          <w:p>
            <w:pPr>
              <w:spacing w:line="360" w:lineRule="auto"/>
              <w:rPr>
                <w:sz w:val="18"/>
                <w:szCs w:val="18"/>
                <w:highlight w:val="none"/>
              </w:rPr>
            </w:pPr>
            <w:r>
              <w:rPr>
                <w:rFonts w:hint="eastAsia"/>
                <w:sz w:val="18"/>
                <w:szCs w:val="18"/>
                <w:highlight w:val="none"/>
              </w:rPr>
              <w:t>增压系统电源控制与保护</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交流接触器</w:t>
            </w:r>
          </w:p>
        </w:tc>
        <w:tc>
          <w:tcPr>
            <w:tcW w:w="4044" w:type="dxa"/>
            <w:gridSpan w:val="2"/>
            <w:vAlign w:val="center"/>
          </w:tcPr>
          <w:p>
            <w:pPr>
              <w:spacing w:line="360" w:lineRule="auto"/>
              <w:rPr>
                <w:sz w:val="18"/>
                <w:szCs w:val="18"/>
                <w:highlight w:val="none"/>
              </w:rPr>
            </w:pPr>
            <w:r>
              <w:rPr>
                <w:rFonts w:hint="eastAsia"/>
                <w:sz w:val="18"/>
                <w:szCs w:val="18"/>
                <w:highlight w:val="none"/>
              </w:rPr>
              <w:t>设备主回路的控制执行器</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热继电器</w:t>
            </w:r>
          </w:p>
        </w:tc>
        <w:tc>
          <w:tcPr>
            <w:tcW w:w="4044" w:type="dxa"/>
            <w:gridSpan w:val="2"/>
            <w:vAlign w:val="center"/>
          </w:tcPr>
          <w:p>
            <w:pPr>
              <w:spacing w:line="360" w:lineRule="auto"/>
              <w:rPr>
                <w:sz w:val="18"/>
                <w:szCs w:val="18"/>
                <w:highlight w:val="none"/>
              </w:rPr>
            </w:pPr>
            <w:r>
              <w:rPr>
                <w:rFonts w:hint="eastAsia"/>
                <w:sz w:val="18"/>
                <w:szCs w:val="18"/>
                <w:highlight w:val="none"/>
              </w:rPr>
              <w:t>电流过载保护</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1893" w:type="dxa"/>
            <w:vAlign w:val="center"/>
          </w:tcPr>
          <w:p>
            <w:pPr>
              <w:spacing w:line="360" w:lineRule="auto"/>
              <w:rPr>
                <w:sz w:val="18"/>
                <w:szCs w:val="18"/>
                <w:highlight w:val="none"/>
              </w:rPr>
            </w:pPr>
            <w:r>
              <w:rPr>
                <w:rFonts w:hint="eastAsia"/>
                <w:sz w:val="18"/>
                <w:szCs w:val="18"/>
                <w:highlight w:val="none"/>
              </w:rPr>
              <w:t>相序保护器</w:t>
            </w:r>
          </w:p>
        </w:tc>
        <w:tc>
          <w:tcPr>
            <w:tcW w:w="4044" w:type="dxa"/>
            <w:gridSpan w:val="2"/>
            <w:vAlign w:val="center"/>
          </w:tcPr>
          <w:p>
            <w:pPr>
              <w:spacing w:line="360" w:lineRule="auto"/>
              <w:rPr>
                <w:sz w:val="18"/>
                <w:szCs w:val="18"/>
                <w:highlight w:val="none"/>
              </w:rPr>
            </w:pPr>
            <w:r>
              <w:rPr>
                <w:rFonts w:hint="eastAsia"/>
                <w:sz w:val="18"/>
                <w:szCs w:val="18"/>
                <w:highlight w:val="none"/>
              </w:rPr>
              <w:t>过压欠压及防止电机反转保护</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1893" w:type="dxa"/>
            <w:vAlign w:val="center"/>
          </w:tcPr>
          <w:p>
            <w:pPr>
              <w:spacing w:line="360" w:lineRule="auto"/>
              <w:rPr>
                <w:sz w:val="18"/>
                <w:szCs w:val="18"/>
                <w:highlight w:val="none"/>
              </w:rPr>
            </w:pPr>
            <w:r>
              <w:rPr>
                <w:rFonts w:hint="eastAsia"/>
                <w:sz w:val="18"/>
                <w:szCs w:val="18"/>
                <w:highlight w:val="none"/>
              </w:rPr>
              <w:t>浪涌保护装置</w:t>
            </w:r>
          </w:p>
        </w:tc>
        <w:tc>
          <w:tcPr>
            <w:tcW w:w="4044" w:type="dxa"/>
            <w:gridSpan w:val="2"/>
            <w:vAlign w:val="center"/>
          </w:tcPr>
          <w:p>
            <w:pPr>
              <w:spacing w:line="360" w:lineRule="auto"/>
              <w:rPr>
                <w:sz w:val="18"/>
                <w:szCs w:val="18"/>
                <w:highlight w:val="none"/>
              </w:rPr>
            </w:pPr>
            <w:r>
              <w:rPr>
                <w:rFonts w:hint="eastAsia"/>
                <w:sz w:val="18"/>
                <w:szCs w:val="18"/>
                <w:highlight w:val="none"/>
              </w:rPr>
              <w:t>浪涌保护、防雷击损伤设备</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exact"/>
          <w:jc w:val="center"/>
        </w:trPr>
        <w:tc>
          <w:tcPr>
            <w:tcW w:w="1893" w:type="dxa"/>
            <w:vAlign w:val="center"/>
          </w:tcPr>
          <w:p>
            <w:pPr>
              <w:spacing w:line="360" w:lineRule="auto"/>
              <w:rPr>
                <w:sz w:val="18"/>
                <w:szCs w:val="18"/>
                <w:highlight w:val="none"/>
              </w:rPr>
            </w:pPr>
            <w:r>
              <w:rPr>
                <w:rFonts w:hint="eastAsia"/>
                <w:sz w:val="18"/>
                <w:szCs w:val="18"/>
                <w:highlight w:val="none"/>
              </w:rPr>
              <w:t>小型中间继电器</w:t>
            </w:r>
          </w:p>
        </w:tc>
        <w:tc>
          <w:tcPr>
            <w:tcW w:w="4044" w:type="dxa"/>
            <w:gridSpan w:val="2"/>
            <w:vAlign w:val="center"/>
          </w:tcPr>
          <w:p>
            <w:pPr>
              <w:spacing w:line="360" w:lineRule="auto"/>
              <w:rPr>
                <w:sz w:val="18"/>
                <w:szCs w:val="18"/>
                <w:highlight w:val="none"/>
              </w:rPr>
            </w:pPr>
            <w:r>
              <w:rPr>
                <w:rFonts w:hint="eastAsia"/>
                <w:sz w:val="18"/>
                <w:szCs w:val="18"/>
                <w:highlight w:val="none"/>
              </w:rPr>
              <w:t>控制信号执行机构</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jc w:val="center"/>
        </w:trPr>
        <w:tc>
          <w:tcPr>
            <w:tcW w:w="1893" w:type="dxa"/>
            <w:vAlign w:val="center"/>
          </w:tcPr>
          <w:p>
            <w:pPr>
              <w:spacing w:line="360" w:lineRule="auto"/>
              <w:rPr>
                <w:sz w:val="18"/>
                <w:szCs w:val="18"/>
                <w:highlight w:val="none"/>
              </w:rPr>
            </w:pPr>
            <w:r>
              <w:rPr>
                <w:rFonts w:hint="eastAsia"/>
                <w:sz w:val="18"/>
                <w:szCs w:val="18"/>
                <w:highlight w:val="none"/>
              </w:rPr>
              <w:t>控制柜内部照明装置</w:t>
            </w:r>
          </w:p>
        </w:tc>
        <w:tc>
          <w:tcPr>
            <w:tcW w:w="4044" w:type="dxa"/>
            <w:gridSpan w:val="2"/>
            <w:vAlign w:val="center"/>
          </w:tcPr>
          <w:p>
            <w:pPr>
              <w:spacing w:line="360" w:lineRule="auto"/>
              <w:rPr>
                <w:sz w:val="18"/>
                <w:szCs w:val="18"/>
                <w:highlight w:val="none"/>
              </w:rPr>
            </w:pPr>
            <w:r>
              <w:rPr>
                <w:rFonts w:hint="eastAsia"/>
                <w:sz w:val="18"/>
                <w:szCs w:val="18"/>
                <w:highlight w:val="none"/>
              </w:rPr>
              <w:t>控制柜开门照明灯开启</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220V电源插座</w:t>
            </w:r>
          </w:p>
        </w:tc>
        <w:tc>
          <w:tcPr>
            <w:tcW w:w="4044" w:type="dxa"/>
            <w:gridSpan w:val="2"/>
            <w:vAlign w:val="center"/>
          </w:tcPr>
          <w:p>
            <w:pPr>
              <w:spacing w:line="360" w:lineRule="auto"/>
              <w:rPr>
                <w:sz w:val="18"/>
                <w:szCs w:val="18"/>
                <w:highlight w:val="none"/>
              </w:rPr>
            </w:pPr>
            <w:r>
              <w:rPr>
                <w:rFonts w:hint="eastAsia"/>
                <w:sz w:val="18"/>
                <w:szCs w:val="18"/>
                <w:highlight w:val="none"/>
              </w:rPr>
              <w:t>配220V电源插座，可临时取电</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1893" w:type="dxa"/>
            <w:vAlign w:val="center"/>
          </w:tcPr>
          <w:p>
            <w:pPr>
              <w:spacing w:line="360" w:lineRule="auto"/>
              <w:rPr>
                <w:sz w:val="18"/>
                <w:szCs w:val="18"/>
                <w:highlight w:val="none"/>
              </w:rPr>
            </w:pPr>
            <w:r>
              <w:rPr>
                <w:rFonts w:hint="eastAsia"/>
                <w:sz w:val="18"/>
                <w:szCs w:val="18"/>
                <w:highlight w:val="none"/>
              </w:rPr>
              <w:t>LED指示灯</w:t>
            </w:r>
          </w:p>
        </w:tc>
        <w:tc>
          <w:tcPr>
            <w:tcW w:w="4044" w:type="dxa"/>
            <w:gridSpan w:val="2"/>
            <w:vAlign w:val="center"/>
          </w:tcPr>
          <w:p>
            <w:pPr>
              <w:spacing w:line="360" w:lineRule="auto"/>
              <w:rPr>
                <w:sz w:val="18"/>
                <w:szCs w:val="18"/>
                <w:highlight w:val="none"/>
              </w:rPr>
            </w:pPr>
            <w:r>
              <w:rPr>
                <w:rFonts w:hint="eastAsia"/>
                <w:sz w:val="18"/>
                <w:szCs w:val="18"/>
                <w:highlight w:val="none"/>
              </w:rPr>
              <w:t>采用冷光源最新科技LED技术指示灯显示系统状态及报警</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蜂鸣报警器</w:t>
            </w:r>
          </w:p>
        </w:tc>
        <w:tc>
          <w:tcPr>
            <w:tcW w:w="4044" w:type="dxa"/>
            <w:gridSpan w:val="2"/>
            <w:vAlign w:val="center"/>
          </w:tcPr>
          <w:p>
            <w:pPr>
              <w:spacing w:line="360" w:lineRule="auto"/>
              <w:rPr>
                <w:sz w:val="18"/>
                <w:szCs w:val="18"/>
                <w:highlight w:val="none"/>
              </w:rPr>
            </w:pPr>
            <w:r>
              <w:rPr>
                <w:rFonts w:hint="eastAsia"/>
                <w:sz w:val="18"/>
                <w:szCs w:val="18"/>
                <w:highlight w:val="none"/>
              </w:rPr>
              <w:t>系统故障状态下声光报警</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1893" w:type="dxa"/>
            <w:vAlign w:val="center"/>
          </w:tcPr>
          <w:p>
            <w:pPr>
              <w:spacing w:line="360" w:lineRule="auto"/>
              <w:rPr>
                <w:sz w:val="18"/>
                <w:szCs w:val="18"/>
                <w:highlight w:val="none"/>
              </w:rPr>
            </w:pPr>
            <w:r>
              <w:rPr>
                <w:rFonts w:hint="eastAsia"/>
                <w:sz w:val="18"/>
                <w:szCs w:val="18"/>
                <w:highlight w:val="none"/>
              </w:rPr>
              <w:t>转换开关按钮</w:t>
            </w:r>
          </w:p>
        </w:tc>
        <w:tc>
          <w:tcPr>
            <w:tcW w:w="4044" w:type="dxa"/>
            <w:gridSpan w:val="2"/>
            <w:vAlign w:val="center"/>
          </w:tcPr>
          <w:p>
            <w:pPr>
              <w:spacing w:line="360" w:lineRule="auto"/>
              <w:rPr>
                <w:sz w:val="18"/>
                <w:szCs w:val="18"/>
                <w:highlight w:val="none"/>
              </w:rPr>
            </w:pPr>
            <w:r>
              <w:rPr>
                <w:rFonts w:hint="eastAsia"/>
                <w:sz w:val="18"/>
                <w:szCs w:val="18"/>
                <w:highlight w:val="none"/>
              </w:rPr>
              <w:t>增压设备状态转换</w:t>
            </w:r>
          </w:p>
        </w:tc>
        <w:tc>
          <w:tcPr>
            <w:tcW w:w="643" w:type="dxa"/>
            <w:gridSpan w:val="2"/>
            <w:vMerge w:val="continue"/>
            <w:vAlign w:val="center"/>
          </w:tcPr>
          <w:p>
            <w:pPr>
              <w:spacing w:line="360" w:lineRule="auto"/>
              <w:rPr>
                <w:sz w:val="18"/>
                <w:szCs w:val="18"/>
                <w:highlight w:val="none"/>
              </w:rPr>
            </w:pPr>
          </w:p>
        </w:tc>
        <w:tc>
          <w:tcPr>
            <w:tcW w:w="560" w:type="dxa"/>
            <w:gridSpan w:val="3"/>
            <w:vMerge w:val="continue"/>
            <w:vAlign w:val="center"/>
          </w:tcPr>
          <w:p>
            <w:pPr>
              <w:spacing w:line="360" w:lineRule="auto"/>
              <w:rPr>
                <w:sz w:val="18"/>
                <w:szCs w:val="18"/>
                <w:highlight w:val="none"/>
              </w:rPr>
            </w:pP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exact"/>
          <w:jc w:val="center"/>
        </w:trPr>
        <w:tc>
          <w:tcPr>
            <w:tcW w:w="1893" w:type="dxa"/>
            <w:vAlign w:val="center"/>
          </w:tcPr>
          <w:p>
            <w:pPr>
              <w:spacing w:line="360" w:lineRule="auto"/>
              <w:rPr>
                <w:sz w:val="18"/>
                <w:szCs w:val="18"/>
                <w:highlight w:val="none"/>
              </w:rPr>
            </w:pPr>
            <w:r>
              <w:rPr>
                <w:rFonts w:hint="eastAsia"/>
                <w:sz w:val="18"/>
                <w:szCs w:val="18"/>
                <w:highlight w:val="none"/>
              </w:rPr>
              <w:t>控制柜体</w:t>
            </w:r>
          </w:p>
        </w:tc>
        <w:tc>
          <w:tcPr>
            <w:tcW w:w="4044" w:type="dxa"/>
            <w:gridSpan w:val="2"/>
            <w:vAlign w:val="center"/>
          </w:tcPr>
          <w:p>
            <w:pPr>
              <w:spacing w:line="360" w:lineRule="auto"/>
              <w:rPr>
                <w:sz w:val="18"/>
                <w:szCs w:val="18"/>
                <w:highlight w:val="none"/>
              </w:rPr>
            </w:pPr>
            <w:r>
              <w:rPr>
                <w:rFonts w:hint="eastAsia"/>
                <w:sz w:val="18"/>
                <w:szCs w:val="18"/>
                <w:highlight w:val="none"/>
              </w:rPr>
              <w:t>加厚板材表面静电喷涂，防护等级IP55</w:t>
            </w:r>
          </w:p>
        </w:tc>
        <w:tc>
          <w:tcPr>
            <w:tcW w:w="643" w:type="dxa"/>
            <w:gridSpan w:val="2"/>
            <w:vAlign w:val="center"/>
          </w:tcPr>
          <w:p>
            <w:pPr>
              <w:spacing w:line="360" w:lineRule="auto"/>
              <w:rPr>
                <w:sz w:val="18"/>
                <w:szCs w:val="18"/>
                <w:highlight w:val="none"/>
              </w:rPr>
            </w:pPr>
            <w:r>
              <w:rPr>
                <w:rFonts w:hint="eastAsia"/>
                <w:sz w:val="18"/>
                <w:szCs w:val="18"/>
                <w:highlight w:val="none"/>
              </w:rPr>
              <w:t>台</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Merge w:val="continue"/>
            <w:vAlign w:val="center"/>
          </w:tcPr>
          <w:p>
            <w:pPr>
              <w:spacing w:line="360" w:lineRule="auto"/>
              <w:rPr>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exact"/>
          <w:jc w:val="center"/>
        </w:trPr>
        <w:tc>
          <w:tcPr>
            <w:tcW w:w="1893" w:type="dxa"/>
            <w:vAlign w:val="center"/>
          </w:tcPr>
          <w:p>
            <w:pPr>
              <w:spacing w:line="360" w:lineRule="auto"/>
              <w:rPr>
                <w:sz w:val="18"/>
                <w:szCs w:val="18"/>
                <w:highlight w:val="none"/>
              </w:rPr>
            </w:pPr>
            <w:r>
              <w:rPr>
                <w:rFonts w:hint="eastAsia"/>
                <w:sz w:val="18"/>
                <w:szCs w:val="18"/>
                <w:highlight w:val="none"/>
              </w:rPr>
              <w:t>UPS</w:t>
            </w:r>
          </w:p>
        </w:tc>
        <w:tc>
          <w:tcPr>
            <w:tcW w:w="4044" w:type="dxa"/>
            <w:gridSpan w:val="2"/>
            <w:vAlign w:val="center"/>
          </w:tcPr>
          <w:p>
            <w:pPr>
              <w:spacing w:line="360" w:lineRule="auto"/>
              <w:rPr>
                <w:sz w:val="18"/>
                <w:szCs w:val="18"/>
                <w:highlight w:val="none"/>
              </w:rPr>
            </w:pPr>
            <w:r>
              <w:rPr>
                <w:rFonts w:hint="eastAsia"/>
                <w:sz w:val="18"/>
                <w:szCs w:val="18"/>
                <w:highlight w:val="none"/>
              </w:rPr>
              <w:t>C2KS 1H，1600W/2KVA，220V</w:t>
            </w:r>
          </w:p>
          <w:p>
            <w:pPr>
              <w:spacing w:line="360" w:lineRule="auto"/>
              <w:rPr>
                <w:sz w:val="18"/>
                <w:szCs w:val="18"/>
                <w:highlight w:val="none"/>
              </w:rPr>
            </w:pPr>
            <w:r>
              <w:rPr>
                <w:rFonts w:hint="eastAsia"/>
                <w:sz w:val="18"/>
                <w:szCs w:val="18"/>
                <w:highlight w:val="none"/>
              </w:rPr>
              <w:t>后备时间1h，4组蓄电池，不间断供电</w:t>
            </w:r>
          </w:p>
        </w:tc>
        <w:tc>
          <w:tcPr>
            <w:tcW w:w="643" w:type="dxa"/>
            <w:gridSpan w:val="2"/>
            <w:vAlign w:val="center"/>
          </w:tcPr>
          <w:p>
            <w:pPr>
              <w:spacing w:line="360" w:lineRule="auto"/>
              <w:rPr>
                <w:sz w:val="18"/>
                <w:szCs w:val="18"/>
                <w:highlight w:val="none"/>
              </w:rPr>
            </w:pPr>
            <w:r>
              <w:rPr>
                <w:rFonts w:hint="eastAsia"/>
                <w:sz w:val="18"/>
                <w:szCs w:val="18"/>
                <w:highlight w:val="none"/>
              </w:rPr>
              <w:t>套</w:t>
            </w:r>
          </w:p>
        </w:tc>
        <w:tc>
          <w:tcPr>
            <w:tcW w:w="560" w:type="dxa"/>
            <w:gridSpan w:val="3"/>
            <w:vAlign w:val="center"/>
          </w:tcPr>
          <w:p>
            <w:pPr>
              <w:spacing w:line="360" w:lineRule="auto"/>
              <w:rPr>
                <w:sz w:val="18"/>
                <w:szCs w:val="18"/>
                <w:highlight w:val="none"/>
              </w:rPr>
            </w:pPr>
            <w:r>
              <w:rPr>
                <w:rFonts w:hint="eastAsia"/>
                <w:sz w:val="18"/>
                <w:szCs w:val="18"/>
                <w:highlight w:val="none"/>
              </w:rPr>
              <w:t>1</w:t>
            </w:r>
          </w:p>
        </w:tc>
        <w:tc>
          <w:tcPr>
            <w:tcW w:w="1812" w:type="dxa"/>
            <w:vAlign w:val="center"/>
          </w:tcPr>
          <w:p>
            <w:pPr>
              <w:spacing w:line="360" w:lineRule="auto"/>
              <w:rPr>
                <w:sz w:val="18"/>
                <w:szCs w:val="18"/>
                <w:highlight w:val="none"/>
              </w:rPr>
            </w:pPr>
            <w:r>
              <w:rPr>
                <w:rFonts w:hint="eastAsia"/>
                <w:sz w:val="18"/>
                <w:szCs w:val="18"/>
                <w:highlight w:val="none"/>
              </w:rPr>
              <w:t>不间断供电</w:t>
            </w:r>
          </w:p>
        </w:tc>
      </w:tr>
    </w:tbl>
    <w:p>
      <w:pPr>
        <w:spacing w:line="360" w:lineRule="auto"/>
        <w:rPr>
          <w:sz w:val="18"/>
          <w:szCs w:val="18"/>
          <w:highlight w:val="none"/>
        </w:rPr>
      </w:pPr>
    </w:p>
    <w:p>
      <w:pPr>
        <w:spacing w:line="360" w:lineRule="auto"/>
        <w:rPr>
          <w:sz w:val="18"/>
          <w:szCs w:val="18"/>
          <w:highlight w:val="none"/>
        </w:rPr>
      </w:pPr>
      <w:r>
        <w:rPr>
          <w:sz w:val="18"/>
          <w:szCs w:val="18"/>
          <w:highlight w:val="none"/>
        </w:rPr>
        <w:br w:type="page"/>
      </w:r>
      <w:bookmarkStart w:id="296" w:name="_Toc72001353"/>
      <w:bookmarkStart w:id="297" w:name="_Toc88662561"/>
      <w:bookmarkStart w:id="298" w:name="_Toc51143356"/>
      <w:r>
        <w:rPr>
          <w:sz w:val="18"/>
          <w:szCs w:val="18"/>
          <w:highlight w:val="none"/>
        </w:rPr>
        <w:t>2</w:t>
      </w:r>
      <w:r>
        <w:rPr>
          <w:rFonts w:hint="eastAsia"/>
          <w:sz w:val="18"/>
          <w:szCs w:val="18"/>
          <w:highlight w:val="none"/>
        </w:rPr>
        <w:t>、水箱系统配置清单</w:t>
      </w:r>
      <w:bookmarkEnd w:id="296"/>
      <w:bookmarkEnd w:id="297"/>
      <w:bookmarkEnd w:id="298"/>
    </w:p>
    <w:tbl>
      <w:tblPr>
        <w:tblStyle w:val="43"/>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028"/>
        <w:gridCol w:w="415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9" w:type="dxa"/>
            <w:vAlign w:val="center"/>
          </w:tcPr>
          <w:p>
            <w:pPr>
              <w:spacing w:line="360" w:lineRule="auto"/>
              <w:rPr>
                <w:sz w:val="18"/>
                <w:szCs w:val="18"/>
                <w:highlight w:val="none"/>
              </w:rPr>
            </w:pPr>
            <w:r>
              <w:rPr>
                <w:rFonts w:hint="eastAsia"/>
                <w:sz w:val="18"/>
                <w:szCs w:val="18"/>
                <w:highlight w:val="none"/>
              </w:rPr>
              <w:t>类别</w:t>
            </w:r>
          </w:p>
        </w:tc>
        <w:tc>
          <w:tcPr>
            <w:tcW w:w="2028" w:type="dxa"/>
            <w:vAlign w:val="center"/>
          </w:tcPr>
          <w:p>
            <w:pPr>
              <w:spacing w:line="360" w:lineRule="auto"/>
              <w:rPr>
                <w:sz w:val="18"/>
                <w:szCs w:val="18"/>
                <w:highlight w:val="none"/>
              </w:rPr>
            </w:pPr>
            <w:r>
              <w:rPr>
                <w:rFonts w:hint="eastAsia"/>
                <w:sz w:val="18"/>
                <w:szCs w:val="18"/>
                <w:highlight w:val="none"/>
              </w:rPr>
              <w:t>设备名称</w:t>
            </w:r>
          </w:p>
        </w:tc>
        <w:tc>
          <w:tcPr>
            <w:tcW w:w="4157" w:type="dxa"/>
            <w:vAlign w:val="center"/>
          </w:tcPr>
          <w:p>
            <w:pPr>
              <w:spacing w:line="360" w:lineRule="auto"/>
              <w:rPr>
                <w:sz w:val="18"/>
                <w:szCs w:val="18"/>
                <w:highlight w:val="none"/>
              </w:rPr>
            </w:pPr>
            <w:r>
              <w:rPr>
                <w:rFonts w:hint="eastAsia"/>
                <w:sz w:val="18"/>
                <w:szCs w:val="18"/>
                <w:highlight w:val="none"/>
              </w:rPr>
              <w:t>规格型号、技术参数</w:t>
            </w:r>
          </w:p>
        </w:tc>
        <w:tc>
          <w:tcPr>
            <w:tcW w:w="1176" w:type="dxa"/>
            <w:vAlign w:val="center"/>
          </w:tcPr>
          <w:p>
            <w:pPr>
              <w:spacing w:line="360" w:lineRule="auto"/>
              <w:rPr>
                <w:sz w:val="18"/>
                <w:szCs w:val="18"/>
                <w:highlight w:val="none"/>
              </w:rPr>
            </w:pPr>
            <w:r>
              <w:rPr>
                <w:rFonts w:hint="eastAsia"/>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89" w:type="dxa"/>
            <w:vMerge w:val="restart"/>
            <w:vAlign w:val="center"/>
          </w:tcPr>
          <w:p>
            <w:pPr>
              <w:spacing w:line="360" w:lineRule="auto"/>
              <w:rPr>
                <w:sz w:val="18"/>
                <w:szCs w:val="18"/>
                <w:highlight w:val="none"/>
              </w:rPr>
            </w:pPr>
            <w:r>
              <w:rPr>
                <w:rFonts w:hint="eastAsia"/>
                <w:sz w:val="18"/>
                <w:szCs w:val="18"/>
                <w:highlight w:val="none"/>
              </w:rPr>
              <w:t>环保水箱系统</w:t>
            </w:r>
          </w:p>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不锈钢水箱</w:t>
            </w:r>
          </w:p>
        </w:tc>
        <w:tc>
          <w:tcPr>
            <w:tcW w:w="4157" w:type="dxa"/>
            <w:vAlign w:val="center"/>
          </w:tcPr>
          <w:p>
            <w:pPr>
              <w:spacing w:line="360" w:lineRule="auto"/>
              <w:rPr>
                <w:sz w:val="18"/>
                <w:szCs w:val="18"/>
                <w:highlight w:val="none"/>
              </w:rPr>
            </w:pPr>
            <w:r>
              <w:rPr>
                <w:sz w:val="18"/>
                <w:szCs w:val="18"/>
                <w:highlight w:val="none"/>
              </w:rPr>
              <w:t>4</w:t>
            </w:r>
            <w:r>
              <w:rPr>
                <w:rFonts w:hint="eastAsia"/>
                <w:sz w:val="18"/>
                <w:szCs w:val="18"/>
                <w:highlight w:val="none"/>
              </w:rPr>
              <w:t>.</w:t>
            </w:r>
            <w:r>
              <w:rPr>
                <w:sz w:val="18"/>
                <w:szCs w:val="18"/>
                <w:highlight w:val="none"/>
              </w:rPr>
              <w:t>5</w:t>
            </w:r>
            <w:r>
              <w:rPr>
                <w:rFonts w:hint="eastAsia"/>
                <w:sz w:val="18"/>
                <w:szCs w:val="18"/>
                <w:highlight w:val="none"/>
              </w:rPr>
              <w:t>M*</w:t>
            </w:r>
            <w:r>
              <w:rPr>
                <w:sz w:val="18"/>
                <w:szCs w:val="18"/>
                <w:highlight w:val="none"/>
              </w:rPr>
              <w:t>3</w:t>
            </w:r>
            <w:r>
              <w:rPr>
                <w:rFonts w:hint="eastAsia"/>
                <w:sz w:val="18"/>
                <w:szCs w:val="18"/>
                <w:highlight w:val="none"/>
              </w:rPr>
              <w:t>.</w:t>
            </w:r>
            <w:r>
              <w:rPr>
                <w:sz w:val="18"/>
                <w:szCs w:val="18"/>
                <w:highlight w:val="none"/>
              </w:rPr>
              <w:t>0</w:t>
            </w:r>
            <w:r>
              <w:rPr>
                <w:rFonts w:hint="eastAsia"/>
                <w:sz w:val="18"/>
                <w:szCs w:val="18"/>
                <w:highlight w:val="none"/>
              </w:rPr>
              <w:t>M*</w:t>
            </w:r>
            <w:r>
              <w:rPr>
                <w:sz w:val="18"/>
                <w:szCs w:val="18"/>
                <w:highlight w:val="none"/>
              </w:rPr>
              <w:t>2</w:t>
            </w:r>
            <w:r>
              <w:rPr>
                <w:rFonts w:hint="eastAsia"/>
                <w:sz w:val="18"/>
                <w:szCs w:val="18"/>
                <w:highlight w:val="none"/>
              </w:rPr>
              <w:t>.</w:t>
            </w:r>
            <w:r>
              <w:rPr>
                <w:sz w:val="18"/>
                <w:szCs w:val="18"/>
                <w:highlight w:val="none"/>
              </w:rPr>
              <w:t>0</w:t>
            </w:r>
            <w:r>
              <w:rPr>
                <w:rFonts w:hint="eastAsia"/>
                <w:sz w:val="18"/>
                <w:szCs w:val="18"/>
                <w:highlight w:val="none"/>
              </w:rPr>
              <w:t>M，水箱容积</w:t>
            </w:r>
            <w:r>
              <w:rPr>
                <w:sz w:val="18"/>
                <w:szCs w:val="18"/>
                <w:highlight w:val="none"/>
              </w:rPr>
              <w:t>27</w:t>
            </w:r>
            <w:r>
              <w:rPr>
                <w:rFonts w:hint="eastAsia"/>
                <w:sz w:val="18"/>
                <w:szCs w:val="18"/>
                <w:highlight w:val="none"/>
              </w:rPr>
              <w:t>m³，材质为SUS304不锈钢，底板</w:t>
            </w:r>
            <w:r>
              <w:rPr>
                <w:sz w:val="18"/>
                <w:szCs w:val="18"/>
                <w:highlight w:val="none"/>
              </w:rPr>
              <w:t>2</w:t>
            </w:r>
            <w:r>
              <w:rPr>
                <w:rFonts w:hint="eastAsia"/>
                <w:sz w:val="18"/>
                <w:szCs w:val="18"/>
                <w:highlight w:val="none"/>
              </w:rPr>
              <w:t>.0mm，下侧板</w:t>
            </w:r>
            <w:r>
              <w:rPr>
                <w:sz w:val="18"/>
                <w:szCs w:val="18"/>
                <w:highlight w:val="none"/>
              </w:rPr>
              <w:t>2</w:t>
            </w:r>
            <w:r>
              <w:rPr>
                <w:rFonts w:hint="eastAsia"/>
                <w:sz w:val="18"/>
                <w:szCs w:val="18"/>
                <w:highlight w:val="none"/>
              </w:rPr>
              <w:t>.0mm，上侧板</w:t>
            </w:r>
            <w:r>
              <w:rPr>
                <w:sz w:val="18"/>
                <w:szCs w:val="18"/>
                <w:highlight w:val="none"/>
              </w:rPr>
              <w:t>1</w:t>
            </w:r>
            <w:r>
              <w:rPr>
                <w:rFonts w:hint="eastAsia"/>
                <w:sz w:val="18"/>
                <w:szCs w:val="18"/>
                <w:highlight w:val="none"/>
              </w:rPr>
              <w:t>.</w:t>
            </w:r>
            <w:r>
              <w:rPr>
                <w:sz w:val="18"/>
                <w:szCs w:val="18"/>
                <w:highlight w:val="none"/>
              </w:rPr>
              <w:t>5</w:t>
            </w:r>
            <w:r>
              <w:rPr>
                <w:rFonts w:hint="eastAsia"/>
                <w:sz w:val="18"/>
                <w:szCs w:val="18"/>
                <w:highlight w:val="none"/>
              </w:rPr>
              <w:t>mm，顶板1.2mm</w:t>
            </w:r>
          </w:p>
        </w:tc>
        <w:tc>
          <w:tcPr>
            <w:tcW w:w="1176" w:type="dxa"/>
            <w:vAlign w:val="center"/>
          </w:tcPr>
          <w:p>
            <w:pPr>
              <w:spacing w:line="360" w:lineRule="auto"/>
              <w:rPr>
                <w:sz w:val="18"/>
                <w:szCs w:val="18"/>
                <w:highlight w:val="none"/>
              </w:rPr>
            </w:pPr>
            <w:r>
              <w:rPr>
                <w:sz w:val="18"/>
                <w:szCs w:val="18"/>
                <w:highlight w:val="none"/>
              </w:rPr>
              <w:t>2</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过滤式呼吸帽</w:t>
            </w:r>
          </w:p>
        </w:tc>
        <w:tc>
          <w:tcPr>
            <w:tcW w:w="4157" w:type="dxa"/>
            <w:vAlign w:val="center"/>
          </w:tcPr>
          <w:p>
            <w:pPr>
              <w:spacing w:line="360" w:lineRule="auto"/>
              <w:rPr>
                <w:sz w:val="18"/>
                <w:szCs w:val="18"/>
                <w:highlight w:val="none"/>
              </w:rPr>
            </w:pPr>
            <w:r>
              <w:rPr>
                <w:rFonts w:hint="eastAsia"/>
                <w:sz w:val="18"/>
                <w:szCs w:val="18"/>
                <w:highlight w:val="none"/>
              </w:rPr>
              <w:t>SUS304材质，内衬活性炭过滤装置</w:t>
            </w:r>
          </w:p>
        </w:tc>
        <w:tc>
          <w:tcPr>
            <w:tcW w:w="1176" w:type="dxa"/>
            <w:vAlign w:val="center"/>
          </w:tcPr>
          <w:p>
            <w:pPr>
              <w:spacing w:line="360" w:lineRule="auto"/>
              <w:rPr>
                <w:sz w:val="18"/>
                <w:szCs w:val="18"/>
                <w:highlight w:val="none"/>
              </w:rPr>
            </w:pPr>
            <w:r>
              <w:rPr>
                <w:sz w:val="18"/>
                <w:szCs w:val="18"/>
                <w:highlight w:val="none"/>
              </w:rPr>
              <w:t>2</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集污式放空管</w:t>
            </w:r>
          </w:p>
        </w:tc>
        <w:tc>
          <w:tcPr>
            <w:tcW w:w="4157" w:type="dxa"/>
            <w:vAlign w:val="center"/>
          </w:tcPr>
          <w:p>
            <w:pPr>
              <w:spacing w:line="360" w:lineRule="auto"/>
              <w:rPr>
                <w:sz w:val="18"/>
                <w:szCs w:val="18"/>
                <w:highlight w:val="none"/>
              </w:rPr>
            </w:pPr>
            <w:r>
              <w:rPr>
                <w:rFonts w:hint="eastAsia"/>
                <w:sz w:val="18"/>
                <w:szCs w:val="18"/>
                <w:highlight w:val="none"/>
              </w:rPr>
              <w:t>DN</w:t>
            </w:r>
            <w:r>
              <w:rPr>
                <w:sz w:val="18"/>
                <w:szCs w:val="18"/>
                <w:highlight w:val="none"/>
              </w:rPr>
              <w:t>80</w:t>
            </w:r>
            <w:r>
              <w:rPr>
                <w:rFonts w:hint="eastAsia"/>
                <w:sz w:val="18"/>
                <w:szCs w:val="18"/>
                <w:highlight w:val="none"/>
              </w:rPr>
              <w:t>，SUS304不锈钢材质</w:t>
            </w:r>
          </w:p>
        </w:tc>
        <w:tc>
          <w:tcPr>
            <w:tcW w:w="1176" w:type="dxa"/>
            <w:vAlign w:val="center"/>
          </w:tcPr>
          <w:p>
            <w:pPr>
              <w:spacing w:line="360" w:lineRule="auto"/>
              <w:rPr>
                <w:sz w:val="18"/>
                <w:szCs w:val="18"/>
                <w:highlight w:val="none"/>
              </w:rPr>
            </w:pPr>
            <w:r>
              <w:rPr>
                <w:sz w:val="18"/>
                <w:szCs w:val="18"/>
                <w:highlight w:val="none"/>
              </w:rPr>
              <w:t>2</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空气隔断溢流管</w:t>
            </w:r>
          </w:p>
        </w:tc>
        <w:tc>
          <w:tcPr>
            <w:tcW w:w="4157" w:type="dxa"/>
            <w:vAlign w:val="center"/>
          </w:tcPr>
          <w:p>
            <w:pPr>
              <w:spacing w:line="360" w:lineRule="auto"/>
              <w:rPr>
                <w:sz w:val="18"/>
                <w:szCs w:val="18"/>
                <w:highlight w:val="none"/>
              </w:rPr>
            </w:pPr>
            <w:r>
              <w:rPr>
                <w:rFonts w:hint="eastAsia"/>
                <w:sz w:val="18"/>
                <w:szCs w:val="18"/>
                <w:highlight w:val="none"/>
              </w:rPr>
              <w:t>DN</w:t>
            </w:r>
            <w:r>
              <w:rPr>
                <w:sz w:val="18"/>
                <w:szCs w:val="18"/>
                <w:highlight w:val="none"/>
              </w:rPr>
              <w:t>15</w:t>
            </w:r>
            <w:r>
              <w:rPr>
                <w:rFonts w:hint="eastAsia"/>
                <w:sz w:val="18"/>
                <w:szCs w:val="18"/>
                <w:highlight w:val="none"/>
              </w:rPr>
              <w:t>0，SUS304不锈钢材质，末端加装18目防虫网，空气隔断加装活性炭过滤装置</w:t>
            </w:r>
          </w:p>
        </w:tc>
        <w:tc>
          <w:tcPr>
            <w:tcW w:w="1176" w:type="dxa"/>
            <w:vAlign w:val="center"/>
          </w:tcPr>
          <w:p>
            <w:pPr>
              <w:spacing w:line="360" w:lineRule="auto"/>
              <w:rPr>
                <w:sz w:val="18"/>
                <w:szCs w:val="18"/>
                <w:highlight w:val="none"/>
              </w:rPr>
            </w:pPr>
            <w:r>
              <w:rPr>
                <w:sz w:val="18"/>
                <w:szCs w:val="18"/>
                <w:highlight w:val="none"/>
              </w:rPr>
              <w:t>2</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密封人孔</w:t>
            </w:r>
          </w:p>
        </w:tc>
        <w:tc>
          <w:tcPr>
            <w:tcW w:w="4157" w:type="dxa"/>
            <w:vAlign w:val="center"/>
          </w:tcPr>
          <w:p>
            <w:pPr>
              <w:spacing w:line="360" w:lineRule="auto"/>
              <w:rPr>
                <w:sz w:val="18"/>
                <w:szCs w:val="18"/>
                <w:highlight w:val="none"/>
              </w:rPr>
            </w:pPr>
            <w:r>
              <w:rPr>
                <w:rFonts w:hint="eastAsia"/>
                <w:sz w:val="18"/>
                <w:szCs w:val="18"/>
                <w:highlight w:val="none"/>
              </w:rPr>
              <w:t>Φ700，带锁扣及锁，SUS304不锈钢材质</w:t>
            </w:r>
          </w:p>
        </w:tc>
        <w:tc>
          <w:tcPr>
            <w:tcW w:w="1176" w:type="dxa"/>
            <w:vAlign w:val="center"/>
          </w:tcPr>
          <w:p>
            <w:pPr>
              <w:spacing w:line="360" w:lineRule="auto"/>
              <w:rPr>
                <w:sz w:val="18"/>
                <w:szCs w:val="18"/>
                <w:highlight w:val="none"/>
              </w:rPr>
            </w:pPr>
            <w:r>
              <w:rPr>
                <w:sz w:val="18"/>
                <w:szCs w:val="18"/>
                <w:highlight w:val="none"/>
              </w:rPr>
              <w:t>2</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内外爬梯</w:t>
            </w:r>
          </w:p>
        </w:tc>
        <w:tc>
          <w:tcPr>
            <w:tcW w:w="4157" w:type="dxa"/>
            <w:vAlign w:val="center"/>
          </w:tcPr>
          <w:p>
            <w:pPr>
              <w:spacing w:line="360" w:lineRule="auto"/>
              <w:rPr>
                <w:sz w:val="18"/>
                <w:szCs w:val="18"/>
                <w:highlight w:val="none"/>
              </w:rPr>
            </w:pPr>
            <w:r>
              <w:rPr>
                <w:rFonts w:hint="eastAsia"/>
                <w:sz w:val="18"/>
                <w:szCs w:val="18"/>
                <w:highlight w:val="none"/>
              </w:rPr>
              <w:t>20*20方管</w:t>
            </w:r>
          </w:p>
        </w:tc>
        <w:tc>
          <w:tcPr>
            <w:tcW w:w="1176" w:type="dxa"/>
            <w:vAlign w:val="center"/>
          </w:tcPr>
          <w:p>
            <w:pPr>
              <w:spacing w:line="360" w:lineRule="auto"/>
              <w:rPr>
                <w:sz w:val="18"/>
                <w:szCs w:val="18"/>
                <w:highlight w:val="none"/>
              </w:rPr>
            </w:pPr>
            <w:r>
              <w:rPr>
                <w:sz w:val="18"/>
                <w:szCs w:val="18"/>
                <w:highlight w:val="none"/>
              </w:rPr>
              <w:t>4</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水箱进水液位电动控制装置（对夹式电动蝶阀）</w:t>
            </w:r>
          </w:p>
        </w:tc>
        <w:tc>
          <w:tcPr>
            <w:tcW w:w="4157" w:type="dxa"/>
            <w:vAlign w:val="center"/>
          </w:tcPr>
          <w:p>
            <w:pPr>
              <w:spacing w:line="360" w:lineRule="auto"/>
              <w:rPr>
                <w:sz w:val="18"/>
                <w:szCs w:val="18"/>
                <w:highlight w:val="none"/>
              </w:rPr>
            </w:pPr>
            <w:r>
              <w:rPr>
                <w:rFonts w:hint="eastAsia"/>
                <w:sz w:val="18"/>
                <w:szCs w:val="18"/>
                <w:highlight w:val="none"/>
              </w:rPr>
              <w:t>DN</w:t>
            </w:r>
            <w:r>
              <w:rPr>
                <w:sz w:val="18"/>
                <w:szCs w:val="18"/>
                <w:highlight w:val="none"/>
              </w:rPr>
              <w:t>80</w:t>
            </w:r>
            <w:r>
              <w:rPr>
                <w:rFonts w:hint="eastAsia"/>
                <w:sz w:val="18"/>
                <w:szCs w:val="18"/>
                <w:highlight w:val="none"/>
              </w:rPr>
              <w:t>，SUS304</w:t>
            </w:r>
          </w:p>
          <w:p>
            <w:pPr>
              <w:spacing w:line="360" w:lineRule="auto"/>
              <w:rPr>
                <w:sz w:val="18"/>
                <w:szCs w:val="18"/>
                <w:highlight w:val="none"/>
              </w:rPr>
            </w:pPr>
            <w:r>
              <w:rPr>
                <w:rFonts w:hint="eastAsia"/>
                <w:sz w:val="18"/>
                <w:szCs w:val="18"/>
                <w:highlight w:val="none"/>
              </w:rPr>
              <w:t>根据液位计进水压力自动控制水箱进水时段，并与遥控浮球阀形成电气机械双重保护</w:t>
            </w:r>
          </w:p>
        </w:tc>
        <w:tc>
          <w:tcPr>
            <w:tcW w:w="1176" w:type="dxa"/>
            <w:vAlign w:val="center"/>
          </w:tcPr>
          <w:p>
            <w:pPr>
              <w:spacing w:line="360" w:lineRule="auto"/>
              <w:rPr>
                <w:sz w:val="18"/>
                <w:szCs w:val="18"/>
                <w:highlight w:val="none"/>
              </w:rPr>
            </w:pPr>
            <w:r>
              <w:rPr>
                <w:sz w:val="18"/>
                <w:szCs w:val="18"/>
                <w:highlight w:val="none"/>
              </w:rPr>
              <w:t>2</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水箱进水Y型过滤器</w:t>
            </w:r>
          </w:p>
        </w:tc>
        <w:tc>
          <w:tcPr>
            <w:tcW w:w="4157" w:type="dxa"/>
            <w:vAlign w:val="center"/>
          </w:tcPr>
          <w:p>
            <w:pPr>
              <w:spacing w:line="360" w:lineRule="auto"/>
              <w:rPr>
                <w:sz w:val="18"/>
                <w:szCs w:val="18"/>
                <w:highlight w:val="none"/>
              </w:rPr>
            </w:pPr>
            <w:r>
              <w:rPr>
                <w:rFonts w:hint="eastAsia"/>
                <w:sz w:val="18"/>
                <w:szCs w:val="18"/>
                <w:highlight w:val="none"/>
              </w:rPr>
              <w:t>DN</w:t>
            </w:r>
            <w:r>
              <w:rPr>
                <w:sz w:val="18"/>
                <w:szCs w:val="18"/>
                <w:highlight w:val="none"/>
              </w:rPr>
              <w:t>100</w:t>
            </w:r>
            <w:r>
              <w:rPr>
                <w:rFonts w:hint="eastAsia"/>
                <w:sz w:val="18"/>
                <w:szCs w:val="18"/>
                <w:highlight w:val="none"/>
              </w:rPr>
              <w:t>，隔离自来水中大颗粒悬浮杂质</w:t>
            </w:r>
          </w:p>
        </w:tc>
        <w:tc>
          <w:tcPr>
            <w:tcW w:w="1176" w:type="dxa"/>
            <w:vAlign w:val="center"/>
          </w:tcPr>
          <w:p>
            <w:pPr>
              <w:spacing w:line="360" w:lineRule="auto"/>
              <w:rPr>
                <w:sz w:val="18"/>
                <w:szCs w:val="18"/>
                <w:highlight w:val="none"/>
              </w:rPr>
            </w:pPr>
            <w:r>
              <w:rPr>
                <w:sz w:val="18"/>
                <w:szCs w:val="18"/>
                <w:highlight w:val="none"/>
              </w:rPr>
              <w:t>1</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水箱出水管路、阀门</w:t>
            </w:r>
          </w:p>
        </w:tc>
        <w:tc>
          <w:tcPr>
            <w:tcW w:w="4157" w:type="dxa"/>
            <w:vAlign w:val="center"/>
          </w:tcPr>
          <w:p>
            <w:pPr>
              <w:spacing w:line="360" w:lineRule="auto"/>
              <w:rPr>
                <w:sz w:val="18"/>
                <w:szCs w:val="18"/>
                <w:highlight w:val="none"/>
              </w:rPr>
            </w:pPr>
            <w:r>
              <w:rPr>
                <w:rFonts w:hint="eastAsia"/>
                <w:sz w:val="18"/>
                <w:szCs w:val="18"/>
                <w:highlight w:val="none"/>
              </w:rPr>
              <w:t>DN</w:t>
            </w:r>
            <w:r>
              <w:rPr>
                <w:sz w:val="18"/>
                <w:szCs w:val="18"/>
                <w:highlight w:val="none"/>
              </w:rPr>
              <w:t>10</w:t>
            </w:r>
            <w:r>
              <w:rPr>
                <w:rFonts w:hint="eastAsia"/>
                <w:sz w:val="18"/>
                <w:szCs w:val="18"/>
                <w:highlight w:val="none"/>
              </w:rPr>
              <w:t>0,接至</w:t>
            </w:r>
            <w:r>
              <w:rPr>
                <w:sz w:val="18"/>
                <w:szCs w:val="18"/>
                <w:highlight w:val="none"/>
              </w:rPr>
              <w:t>1</w:t>
            </w:r>
            <w:r>
              <w:rPr>
                <w:rFonts w:hint="eastAsia"/>
                <w:sz w:val="18"/>
                <w:szCs w:val="18"/>
                <w:highlight w:val="none"/>
              </w:rPr>
              <w:t>套加压设备进水汇总管</w:t>
            </w:r>
          </w:p>
        </w:tc>
        <w:tc>
          <w:tcPr>
            <w:tcW w:w="1176" w:type="dxa"/>
            <w:vAlign w:val="center"/>
          </w:tcPr>
          <w:p>
            <w:pPr>
              <w:spacing w:line="360" w:lineRule="auto"/>
              <w:rPr>
                <w:sz w:val="18"/>
                <w:szCs w:val="18"/>
                <w:highlight w:val="none"/>
              </w:rPr>
            </w:pPr>
            <w:r>
              <w:rPr>
                <w:sz w:val="18"/>
                <w:szCs w:val="18"/>
                <w:highlight w:val="none"/>
              </w:rPr>
              <w:t>1</w:t>
            </w:r>
            <w:r>
              <w:rPr>
                <w:rFonts w:hint="eastAsia"/>
                <w:sz w:val="18"/>
                <w:szCs w:val="18"/>
                <w:highlight w:val="none"/>
              </w:rPr>
              <w:t>套</w:t>
            </w:r>
          </w:p>
        </w:tc>
      </w:tr>
    </w:tbl>
    <w:p>
      <w:pPr>
        <w:spacing w:line="360" w:lineRule="auto"/>
        <w:rPr>
          <w:sz w:val="18"/>
          <w:szCs w:val="18"/>
          <w:highlight w:val="none"/>
        </w:rPr>
      </w:pPr>
      <w:bookmarkStart w:id="299" w:name="_Toc51143357"/>
    </w:p>
    <w:p>
      <w:pPr>
        <w:spacing w:line="360" w:lineRule="auto"/>
        <w:rPr>
          <w:sz w:val="18"/>
          <w:szCs w:val="18"/>
          <w:highlight w:val="none"/>
        </w:rPr>
      </w:pPr>
      <w:r>
        <w:rPr>
          <w:sz w:val="18"/>
          <w:szCs w:val="18"/>
          <w:highlight w:val="none"/>
        </w:rPr>
        <w:br w:type="page"/>
      </w:r>
    </w:p>
    <w:p>
      <w:pPr>
        <w:spacing w:line="360" w:lineRule="auto"/>
        <w:rPr>
          <w:sz w:val="18"/>
          <w:szCs w:val="18"/>
          <w:highlight w:val="none"/>
        </w:rPr>
      </w:pPr>
      <w:bookmarkStart w:id="300" w:name="_Toc88662562"/>
      <w:bookmarkStart w:id="301" w:name="_Toc72001354"/>
      <w:r>
        <w:rPr>
          <w:sz w:val="18"/>
          <w:szCs w:val="18"/>
          <w:highlight w:val="none"/>
        </w:rPr>
        <w:t>3</w:t>
      </w:r>
      <w:r>
        <w:rPr>
          <w:rFonts w:hint="eastAsia"/>
          <w:sz w:val="18"/>
          <w:szCs w:val="18"/>
          <w:highlight w:val="none"/>
        </w:rPr>
        <w:t>、泵房安防配置清单</w:t>
      </w:r>
      <w:bookmarkEnd w:id="299"/>
      <w:bookmarkEnd w:id="300"/>
      <w:bookmarkEnd w:id="301"/>
    </w:p>
    <w:tbl>
      <w:tblPr>
        <w:tblStyle w:val="43"/>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10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80" w:type="dxa"/>
            <w:vAlign w:val="center"/>
          </w:tcPr>
          <w:p>
            <w:pPr>
              <w:spacing w:line="360" w:lineRule="auto"/>
              <w:rPr>
                <w:sz w:val="18"/>
                <w:szCs w:val="18"/>
                <w:highlight w:val="none"/>
              </w:rPr>
            </w:pPr>
            <w:r>
              <w:rPr>
                <w:rFonts w:hint="eastAsia"/>
                <w:sz w:val="18"/>
                <w:szCs w:val="18"/>
                <w:highlight w:val="none"/>
              </w:rPr>
              <w:t>设备名称</w:t>
            </w:r>
          </w:p>
        </w:tc>
        <w:tc>
          <w:tcPr>
            <w:tcW w:w="5103" w:type="dxa"/>
            <w:vAlign w:val="center"/>
          </w:tcPr>
          <w:p>
            <w:pPr>
              <w:spacing w:line="360" w:lineRule="auto"/>
              <w:rPr>
                <w:sz w:val="18"/>
                <w:szCs w:val="18"/>
                <w:highlight w:val="none"/>
              </w:rPr>
            </w:pPr>
            <w:r>
              <w:rPr>
                <w:rFonts w:hint="eastAsia"/>
                <w:sz w:val="18"/>
                <w:szCs w:val="18"/>
                <w:highlight w:val="none"/>
              </w:rPr>
              <w:t>规格型号、技术参数</w:t>
            </w:r>
          </w:p>
        </w:tc>
        <w:tc>
          <w:tcPr>
            <w:tcW w:w="1108" w:type="dxa"/>
            <w:vAlign w:val="center"/>
          </w:tcPr>
          <w:p>
            <w:pPr>
              <w:spacing w:line="360" w:lineRule="auto"/>
              <w:rPr>
                <w:sz w:val="18"/>
                <w:szCs w:val="18"/>
                <w:highlight w:val="none"/>
              </w:rPr>
            </w:pPr>
            <w:r>
              <w:rPr>
                <w:rFonts w:hint="eastAsia"/>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0" w:type="dxa"/>
            <w:vMerge w:val="restart"/>
            <w:vAlign w:val="center"/>
          </w:tcPr>
          <w:p>
            <w:pPr>
              <w:spacing w:line="360" w:lineRule="auto"/>
              <w:rPr>
                <w:sz w:val="18"/>
                <w:szCs w:val="18"/>
                <w:highlight w:val="none"/>
              </w:rPr>
            </w:pPr>
            <w:r>
              <w:rPr>
                <w:rFonts w:hint="eastAsia"/>
                <w:sz w:val="18"/>
                <w:szCs w:val="18"/>
                <w:highlight w:val="none"/>
              </w:rPr>
              <w:t>泵房安防系统</w:t>
            </w:r>
          </w:p>
        </w:tc>
        <w:tc>
          <w:tcPr>
            <w:tcW w:w="5103" w:type="dxa"/>
            <w:vAlign w:val="center"/>
          </w:tcPr>
          <w:p>
            <w:pPr>
              <w:spacing w:line="360" w:lineRule="auto"/>
              <w:rPr>
                <w:sz w:val="18"/>
                <w:szCs w:val="18"/>
                <w:highlight w:val="none"/>
              </w:rPr>
            </w:pPr>
            <w:r>
              <w:rPr>
                <w:rFonts w:hint="eastAsia"/>
                <w:sz w:val="18"/>
                <w:szCs w:val="18"/>
                <w:highlight w:val="none"/>
              </w:rPr>
              <w:t>智能门禁系统，电磁锁一体机，操作面板，开门按钮</w:t>
            </w:r>
          </w:p>
        </w:tc>
        <w:tc>
          <w:tcPr>
            <w:tcW w:w="1108" w:type="dxa"/>
            <w:vAlign w:val="center"/>
          </w:tcPr>
          <w:p>
            <w:pPr>
              <w:spacing w:line="360" w:lineRule="auto"/>
              <w:rPr>
                <w:sz w:val="18"/>
                <w:szCs w:val="18"/>
                <w:highlight w:val="none"/>
              </w:rPr>
            </w:pPr>
            <w:r>
              <w:rPr>
                <w:sz w:val="18"/>
                <w:szCs w:val="18"/>
                <w:highlight w:val="none"/>
              </w:rPr>
              <w:t>1</w:t>
            </w:r>
            <w:r>
              <w:rPr>
                <w:rFonts w:hint="eastAsia"/>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rFonts w:hint="eastAsia"/>
                <w:sz w:val="18"/>
                <w:szCs w:val="18"/>
                <w:highlight w:val="none"/>
              </w:rPr>
              <w:t>360°无死角高清球形摄像机，200万像素，安装于泵房内</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rFonts w:hint="eastAsia"/>
                <w:sz w:val="18"/>
                <w:szCs w:val="18"/>
                <w:highlight w:val="none"/>
              </w:rPr>
              <w:t>入侵报警探测器和主机，红外对射</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rFonts w:hint="eastAsia"/>
                <w:sz w:val="18"/>
                <w:szCs w:val="18"/>
                <w:highlight w:val="none"/>
              </w:rPr>
              <w:t>声光报警器</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rFonts w:hint="eastAsia"/>
                <w:sz w:val="18"/>
                <w:szCs w:val="18"/>
                <w:highlight w:val="none"/>
              </w:rPr>
              <w:t>带红外高清摄像枪机，200万像素，安装于泵房内，监视泵房门口及主要通道</w:t>
            </w:r>
          </w:p>
        </w:tc>
        <w:tc>
          <w:tcPr>
            <w:tcW w:w="1108" w:type="dxa"/>
            <w:vAlign w:val="center"/>
          </w:tcPr>
          <w:p>
            <w:pPr>
              <w:spacing w:line="360" w:lineRule="auto"/>
              <w:rPr>
                <w:sz w:val="18"/>
                <w:szCs w:val="18"/>
                <w:highlight w:val="none"/>
              </w:rPr>
            </w:pPr>
            <w:r>
              <w:rPr>
                <w:rFonts w:hint="eastAsia"/>
                <w:sz w:val="18"/>
                <w:szCs w:val="18"/>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80" w:type="dxa"/>
            <w:vMerge w:val="restart"/>
            <w:vAlign w:val="center"/>
          </w:tcPr>
          <w:p>
            <w:pPr>
              <w:spacing w:line="360" w:lineRule="auto"/>
              <w:rPr>
                <w:sz w:val="18"/>
                <w:szCs w:val="18"/>
                <w:highlight w:val="none"/>
              </w:rPr>
            </w:pPr>
            <w:r>
              <w:rPr>
                <w:rFonts w:hint="eastAsia"/>
                <w:sz w:val="18"/>
                <w:szCs w:val="18"/>
                <w:highlight w:val="none"/>
              </w:rPr>
              <w:t>数据存储交互系统</w:t>
            </w:r>
          </w:p>
        </w:tc>
        <w:tc>
          <w:tcPr>
            <w:tcW w:w="5103" w:type="dxa"/>
            <w:vAlign w:val="center"/>
          </w:tcPr>
          <w:p>
            <w:pPr>
              <w:spacing w:line="360" w:lineRule="auto"/>
              <w:rPr>
                <w:sz w:val="18"/>
                <w:szCs w:val="18"/>
                <w:highlight w:val="none"/>
              </w:rPr>
            </w:pPr>
            <w:r>
              <w:rPr>
                <w:rFonts w:hint="eastAsia"/>
                <w:sz w:val="18"/>
                <w:szCs w:val="18"/>
                <w:highlight w:val="none"/>
              </w:rPr>
              <w:t>硬盘录像机，</w:t>
            </w:r>
            <w:r>
              <w:rPr>
                <w:sz w:val="18"/>
                <w:szCs w:val="18"/>
                <w:highlight w:val="none"/>
              </w:rPr>
              <w:t>6</w:t>
            </w:r>
            <w:r>
              <w:rPr>
                <w:rFonts w:hint="eastAsia"/>
                <w:sz w:val="18"/>
                <w:szCs w:val="18"/>
                <w:highlight w:val="none"/>
              </w:rPr>
              <w:t>T数据硬盘，可存储60天以上视频数据</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sz w:val="18"/>
                <w:szCs w:val="18"/>
                <w:highlight w:val="none"/>
              </w:rPr>
              <w:t>5</w:t>
            </w:r>
            <w:r>
              <w:rPr>
                <w:rFonts w:hint="eastAsia"/>
                <w:sz w:val="18"/>
                <w:szCs w:val="18"/>
                <w:highlight w:val="none"/>
              </w:rPr>
              <w:t>口交换机，工业级</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vMerge w:val="restart"/>
            <w:vAlign w:val="center"/>
          </w:tcPr>
          <w:p>
            <w:pPr>
              <w:spacing w:line="360" w:lineRule="auto"/>
              <w:rPr>
                <w:sz w:val="18"/>
                <w:szCs w:val="18"/>
                <w:highlight w:val="none"/>
              </w:rPr>
            </w:pPr>
            <w:r>
              <w:rPr>
                <w:rFonts w:hint="eastAsia"/>
                <w:sz w:val="18"/>
                <w:szCs w:val="18"/>
                <w:highlight w:val="none"/>
              </w:rPr>
              <w:t>LED灯具</w:t>
            </w:r>
          </w:p>
        </w:tc>
        <w:tc>
          <w:tcPr>
            <w:tcW w:w="5103" w:type="dxa"/>
            <w:vAlign w:val="center"/>
          </w:tcPr>
          <w:p>
            <w:pPr>
              <w:spacing w:line="360" w:lineRule="auto"/>
              <w:rPr>
                <w:sz w:val="18"/>
                <w:szCs w:val="18"/>
                <w:highlight w:val="none"/>
              </w:rPr>
            </w:pPr>
            <w:r>
              <w:rPr>
                <w:rFonts w:hint="eastAsia"/>
                <w:sz w:val="18"/>
                <w:szCs w:val="18"/>
                <w:highlight w:val="none"/>
              </w:rPr>
              <w:t>应急照明LED灯+电池</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rFonts w:hint="eastAsia"/>
                <w:sz w:val="18"/>
                <w:szCs w:val="18"/>
                <w:highlight w:val="none"/>
              </w:rPr>
              <w:t>疏散指示LED灯+电池</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vMerge w:val="continue"/>
            <w:vAlign w:val="center"/>
          </w:tcPr>
          <w:p>
            <w:pPr>
              <w:spacing w:line="360" w:lineRule="auto"/>
              <w:rPr>
                <w:sz w:val="18"/>
                <w:szCs w:val="18"/>
                <w:highlight w:val="none"/>
              </w:rPr>
            </w:pPr>
          </w:p>
        </w:tc>
        <w:tc>
          <w:tcPr>
            <w:tcW w:w="5103" w:type="dxa"/>
            <w:vAlign w:val="center"/>
          </w:tcPr>
          <w:p>
            <w:pPr>
              <w:spacing w:line="360" w:lineRule="auto"/>
              <w:rPr>
                <w:sz w:val="18"/>
                <w:szCs w:val="18"/>
                <w:highlight w:val="none"/>
              </w:rPr>
            </w:pPr>
            <w:r>
              <w:rPr>
                <w:rFonts w:hint="eastAsia"/>
                <w:sz w:val="18"/>
                <w:szCs w:val="18"/>
                <w:highlight w:val="none"/>
              </w:rPr>
              <w:t>安全出口LED灯+电池</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80" w:type="dxa"/>
            <w:vAlign w:val="center"/>
          </w:tcPr>
          <w:p>
            <w:pPr>
              <w:spacing w:line="360" w:lineRule="auto"/>
              <w:rPr>
                <w:sz w:val="18"/>
                <w:szCs w:val="18"/>
                <w:highlight w:val="none"/>
              </w:rPr>
            </w:pPr>
            <w:r>
              <w:rPr>
                <w:rFonts w:hint="eastAsia"/>
                <w:sz w:val="18"/>
                <w:szCs w:val="18"/>
                <w:highlight w:val="none"/>
              </w:rPr>
              <w:t>安防柜</w:t>
            </w:r>
          </w:p>
        </w:tc>
        <w:tc>
          <w:tcPr>
            <w:tcW w:w="5103" w:type="dxa"/>
            <w:vAlign w:val="center"/>
          </w:tcPr>
          <w:p>
            <w:pPr>
              <w:spacing w:line="360" w:lineRule="auto"/>
              <w:rPr>
                <w:sz w:val="18"/>
                <w:szCs w:val="18"/>
                <w:highlight w:val="none"/>
              </w:rPr>
            </w:pPr>
            <w:r>
              <w:rPr>
                <w:rFonts w:hint="eastAsia"/>
                <w:sz w:val="18"/>
                <w:szCs w:val="18"/>
                <w:highlight w:val="none"/>
              </w:rPr>
              <w:t>智能一体化安防柜，IP55防护等级</w:t>
            </w:r>
          </w:p>
        </w:tc>
        <w:tc>
          <w:tcPr>
            <w:tcW w:w="1108"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80" w:type="dxa"/>
            <w:vAlign w:val="center"/>
          </w:tcPr>
          <w:p>
            <w:pPr>
              <w:spacing w:line="360" w:lineRule="auto"/>
              <w:rPr>
                <w:sz w:val="18"/>
                <w:szCs w:val="18"/>
                <w:highlight w:val="none"/>
              </w:rPr>
            </w:pPr>
            <w:r>
              <w:rPr>
                <w:rFonts w:hint="eastAsia"/>
                <w:sz w:val="18"/>
                <w:szCs w:val="18"/>
                <w:highlight w:val="none"/>
              </w:rPr>
              <w:t>安防配套附件</w:t>
            </w:r>
          </w:p>
        </w:tc>
        <w:tc>
          <w:tcPr>
            <w:tcW w:w="5103" w:type="dxa"/>
            <w:vAlign w:val="center"/>
          </w:tcPr>
          <w:p>
            <w:pPr>
              <w:spacing w:line="360" w:lineRule="auto"/>
              <w:rPr>
                <w:sz w:val="18"/>
                <w:szCs w:val="18"/>
                <w:highlight w:val="none"/>
              </w:rPr>
            </w:pPr>
            <w:r>
              <w:rPr>
                <w:rFonts w:hint="eastAsia"/>
                <w:sz w:val="18"/>
                <w:szCs w:val="18"/>
                <w:highlight w:val="none"/>
              </w:rPr>
              <w:t>显示器、主机等等</w:t>
            </w:r>
          </w:p>
        </w:tc>
        <w:tc>
          <w:tcPr>
            <w:tcW w:w="1108" w:type="dxa"/>
            <w:vAlign w:val="center"/>
          </w:tcPr>
          <w:p>
            <w:pPr>
              <w:spacing w:line="360" w:lineRule="auto"/>
              <w:rPr>
                <w:sz w:val="18"/>
                <w:szCs w:val="18"/>
                <w:highlight w:val="none"/>
              </w:rPr>
            </w:pPr>
            <w:r>
              <w:rPr>
                <w:rFonts w:hint="eastAsia"/>
                <w:sz w:val="18"/>
                <w:szCs w:val="18"/>
                <w:highlight w:val="none"/>
              </w:rPr>
              <w:t>1套</w:t>
            </w:r>
          </w:p>
        </w:tc>
      </w:tr>
    </w:tbl>
    <w:p>
      <w:pPr>
        <w:spacing w:line="360" w:lineRule="auto"/>
        <w:rPr>
          <w:sz w:val="18"/>
          <w:szCs w:val="18"/>
          <w:highlight w:val="none"/>
        </w:rPr>
      </w:pPr>
    </w:p>
    <w:p>
      <w:pPr>
        <w:spacing w:line="360" w:lineRule="auto"/>
        <w:rPr>
          <w:sz w:val="18"/>
          <w:szCs w:val="18"/>
          <w:highlight w:val="none"/>
        </w:rPr>
      </w:pPr>
      <w:r>
        <w:rPr>
          <w:sz w:val="18"/>
          <w:szCs w:val="18"/>
          <w:highlight w:val="none"/>
        </w:rPr>
        <w:br w:type="page"/>
      </w:r>
      <w:bookmarkStart w:id="302" w:name="_Toc72001355"/>
      <w:bookmarkStart w:id="303" w:name="_Toc88662563"/>
      <w:bookmarkStart w:id="304" w:name="_Toc51143358"/>
      <w:r>
        <w:rPr>
          <w:sz w:val="18"/>
          <w:szCs w:val="18"/>
          <w:highlight w:val="none"/>
        </w:rPr>
        <w:t>4</w:t>
      </w:r>
      <w:r>
        <w:rPr>
          <w:rFonts w:hint="eastAsia"/>
          <w:sz w:val="18"/>
          <w:szCs w:val="18"/>
          <w:highlight w:val="none"/>
        </w:rPr>
        <w:t>、标准化泵房打造配置清单</w:t>
      </w:r>
      <w:bookmarkEnd w:id="302"/>
      <w:bookmarkEnd w:id="303"/>
      <w:bookmarkEnd w:id="304"/>
    </w:p>
    <w:tbl>
      <w:tblPr>
        <w:tblStyle w:val="43"/>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028"/>
        <w:gridCol w:w="415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9" w:type="dxa"/>
            <w:vAlign w:val="center"/>
          </w:tcPr>
          <w:p>
            <w:pPr>
              <w:spacing w:line="360" w:lineRule="auto"/>
              <w:rPr>
                <w:sz w:val="18"/>
                <w:szCs w:val="18"/>
                <w:highlight w:val="none"/>
              </w:rPr>
            </w:pPr>
            <w:r>
              <w:rPr>
                <w:rFonts w:hint="eastAsia"/>
                <w:sz w:val="18"/>
                <w:szCs w:val="18"/>
                <w:highlight w:val="none"/>
              </w:rPr>
              <w:t>类别</w:t>
            </w:r>
          </w:p>
        </w:tc>
        <w:tc>
          <w:tcPr>
            <w:tcW w:w="2028" w:type="dxa"/>
            <w:vAlign w:val="center"/>
          </w:tcPr>
          <w:p>
            <w:pPr>
              <w:spacing w:line="360" w:lineRule="auto"/>
              <w:rPr>
                <w:sz w:val="18"/>
                <w:szCs w:val="18"/>
                <w:highlight w:val="none"/>
              </w:rPr>
            </w:pPr>
            <w:r>
              <w:rPr>
                <w:rFonts w:hint="eastAsia"/>
                <w:sz w:val="18"/>
                <w:szCs w:val="18"/>
                <w:highlight w:val="none"/>
              </w:rPr>
              <w:t>设备名称</w:t>
            </w:r>
          </w:p>
        </w:tc>
        <w:tc>
          <w:tcPr>
            <w:tcW w:w="4157" w:type="dxa"/>
            <w:vAlign w:val="center"/>
          </w:tcPr>
          <w:p>
            <w:pPr>
              <w:spacing w:line="360" w:lineRule="auto"/>
              <w:rPr>
                <w:sz w:val="18"/>
                <w:szCs w:val="18"/>
                <w:highlight w:val="none"/>
              </w:rPr>
            </w:pPr>
            <w:r>
              <w:rPr>
                <w:rFonts w:hint="eastAsia"/>
                <w:sz w:val="18"/>
                <w:szCs w:val="18"/>
                <w:highlight w:val="none"/>
              </w:rPr>
              <w:t>规格型号、技术参数</w:t>
            </w:r>
          </w:p>
        </w:tc>
        <w:tc>
          <w:tcPr>
            <w:tcW w:w="1176" w:type="dxa"/>
            <w:vAlign w:val="center"/>
          </w:tcPr>
          <w:p>
            <w:pPr>
              <w:spacing w:line="360" w:lineRule="auto"/>
              <w:rPr>
                <w:sz w:val="18"/>
                <w:szCs w:val="18"/>
                <w:highlight w:val="none"/>
              </w:rPr>
            </w:pPr>
            <w:r>
              <w:rPr>
                <w:rFonts w:hint="eastAsia"/>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89" w:type="dxa"/>
            <w:vMerge w:val="restart"/>
            <w:vAlign w:val="center"/>
          </w:tcPr>
          <w:p>
            <w:pPr>
              <w:spacing w:line="360" w:lineRule="auto"/>
              <w:rPr>
                <w:sz w:val="18"/>
                <w:szCs w:val="18"/>
                <w:highlight w:val="none"/>
              </w:rPr>
            </w:pPr>
            <w:r>
              <w:rPr>
                <w:rFonts w:hint="eastAsia"/>
                <w:sz w:val="18"/>
                <w:szCs w:val="18"/>
                <w:highlight w:val="none"/>
              </w:rPr>
              <w:t>泵房装修配置系统</w:t>
            </w:r>
          </w:p>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地砖</w:t>
            </w:r>
          </w:p>
        </w:tc>
        <w:tc>
          <w:tcPr>
            <w:tcW w:w="4157" w:type="dxa"/>
            <w:vAlign w:val="center"/>
          </w:tcPr>
          <w:p>
            <w:pPr>
              <w:spacing w:line="360" w:lineRule="auto"/>
              <w:rPr>
                <w:sz w:val="18"/>
                <w:szCs w:val="18"/>
                <w:highlight w:val="none"/>
              </w:rPr>
            </w:pPr>
            <w:r>
              <w:rPr>
                <w:rFonts w:hint="eastAsia"/>
                <w:sz w:val="18"/>
                <w:szCs w:val="18"/>
                <w:highlight w:val="none"/>
              </w:rPr>
              <w:t>深灰色木纹花色，尺寸8</w:t>
            </w:r>
            <w:r>
              <w:rPr>
                <w:sz w:val="18"/>
                <w:szCs w:val="18"/>
                <w:highlight w:val="none"/>
              </w:rPr>
              <w:t>00</w:t>
            </w:r>
            <w:r>
              <w:rPr>
                <w:rFonts w:hint="eastAsia"/>
                <w:sz w:val="18"/>
                <w:szCs w:val="18"/>
                <w:highlight w:val="none"/>
              </w:rPr>
              <w:t>*</w:t>
            </w:r>
            <w:r>
              <w:rPr>
                <w:sz w:val="18"/>
                <w:szCs w:val="18"/>
                <w:highlight w:val="none"/>
              </w:rPr>
              <w:t>800</w:t>
            </w:r>
            <w:r>
              <w:rPr>
                <w:rFonts w:hint="eastAsia"/>
                <w:sz w:val="18"/>
                <w:szCs w:val="18"/>
                <w:highlight w:val="none"/>
              </w:rPr>
              <w:t>mm</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墙砖</w:t>
            </w:r>
          </w:p>
        </w:tc>
        <w:tc>
          <w:tcPr>
            <w:tcW w:w="4157" w:type="dxa"/>
            <w:vAlign w:val="center"/>
          </w:tcPr>
          <w:p>
            <w:pPr>
              <w:spacing w:line="360" w:lineRule="auto"/>
              <w:rPr>
                <w:sz w:val="18"/>
                <w:szCs w:val="18"/>
                <w:highlight w:val="none"/>
              </w:rPr>
            </w:pPr>
            <w:r>
              <w:rPr>
                <w:rFonts w:hint="eastAsia"/>
                <w:sz w:val="18"/>
                <w:szCs w:val="18"/>
                <w:highlight w:val="none"/>
              </w:rPr>
              <w:t>深灰色木纹花色，尺寸</w:t>
            </w:r>
            <w:r>
              <w:rPr>
                <w:sz w:val="18"/>
                <w:szCs w:val="18"/>
                <w:highlight w:val="none"/>
              </w:rPr>
              <w:t>600</w:t>
            </w:r>
            <w:r>
              <w:rPr>
                <w:rFonts w:hint="eastAsia"/>
                <w:sz w:val="18"/>
                <w:szCs w:val="18"/>
                <w:highlight w:val="none"/>
              </w:rPr>
              <w:t>*</w:t>
            </w:r>
            <w:r>
              <w:rPr>
                <w:sz w:val="18"/>
                <w:szCs w:val="18"/>
                <w:highlight w:val="none"/>
              </w:rPr>
              <w:t>300</w:t>
            </w:r>
            <w:r>
              <w:rPr>
                <w:rFonts w:hint="eastAsia"/>
                <w:sz w:val="18"/>
                <w:szCs w:val="18"/>
                <w:highlight w:val="none"/>
              </w:rPr>
              <w:t>mm</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吊顶</w:t>
            </w:r>
          </w:p>
        </w:tc>
        <w:tc>
          <w:tcPr>
            <w:tcW w:w="4157" w:type="dxa"/>
            <w:vAlign w:val="center"/>
          </w:tcPr>
          <w:p>
            <w:pPr>
              <w:spacing w:line="360" w:lineRule="auto"/>
              <w:rPr>
                <w:sz w:val="18"/>
                <w:szCs w:val="18"/>
                <w:highlight w:val="none"/>
              </w:rPr>
            </w:pPr>
            <w:r>
              <w:rPr>
                <w:rFonts w:hint="eastAsia"/>
                <w:sz w:val="18"/>
                <w:szCs w:val="18"/>
                <w:highlight w:val="none"/>
              </w:rPr>
              <w:t>铝方通吊顶，铝合金材质，尺寸W</w:t>
            </w:r>
            <w:r>
              <w:rPr>
                <w:sz w:val="18"/>
                <w:szCs w:val="18"/>
                <w:highlight w:val="none"/>
              </w:rPr>
              <w:t>30</w:t>
            </w:r>
            <w:r>
              <w:rPr>
                <w:rFonts w:hint="eastAsia"/>
                <w:sz w:val="18"/>
                <w:szCs w:val="18"/>
                <w:highlight w:val="none"/>
              </w:rPr>
              <w:t>mm*H</w:t>
            </w:r>
            <w:r>
              <w:rPr>
                <w:sz w:val="18"/>
                <w:szCs w:val="18"/>
                <w:highlight w:val="none"/>
              </w:rPr>
              <w:t>100</w:t>
            </w:r>
            <w:r>
              <w:rPr>
                <w:rFonts w:hint="eastAsia"/>
                <w:sz w:val="18"/>
                <w:szCs w:val="18"/>
                <w:highlight w:val="none"/>
              </w:rPr>
              <w:t>mm</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灯具</w:t>
            </w:r>
          </w:p>
        </w:tc>
        <w:tc>
          <w:tcPr>
            <w:tcW w:w="4157" w:type="dxa"/>
            <w:vAlign w:val="center"/>
          </w:tcPr>
          <w:p>
            <w:pPr>
              <w:spacing w:line="360" w:lineRule="auto"/>
              <w:rPr>
                <w:sz w:val="18"/>
                <w:szCs w:val="18"/>
                <w:highlight w:val="none"/>
              </w:rPr>
            </w:pPr>
            <w:r>
              <w:rPr>
                <w:rFonts w:hint="eastAsia"/>
                <w:sz w:val="18"/>
                <w:szCs w:val="18"/>
                <w:highlight w:val="none"/>
              </w:rPr>
              <w:t>LED方形灯，尺寸W</w:t>
            </w:r>
            <w:r>
              <w:rPr>
                <w:sz w:val="18"/>
                <w:szCs w:val="18"/>
                <w:highlight w:val="none"/>
              </w:rPr>
              <w:t>70</w:t>
            </w:r>
            <w:r>
              <w:rPr>
                <w:rFonts w:hint="eastAsia"/>
                <w:sz w:val="18"/>
                <w:szCs w:val="18"/>
                <w:highlight w:val="none"/>
              </w:rPr>
              <w:t>*H</w:t>
            </w:r>
            <w:r>
              <w:rPr>
                <w:sz w:val="18"/>
                <w:szCs w:val="18"/>
                <w:highlight w:val="none"/>
              </w:rPr>
              <w:t>38</w:t>
            </w:r>
            <w:r>
              <w:rPr>
                <w:rFonts w:hint="eastAsia"/>
                <w:sz w:val="18"/>
                <w:szCs w:val="18"/>
                <w:highlight w:val="none"/>
              </w:rPr>
              <w:t>*L</w:t>
            </w:r>
            <w:r>
              <w:rPr>
                <w:sz w:val="18"/>
                <w:szCs w:val="18"/>
                <w:highlight w:val="none"/>
              </w:rPr>
              <w:t>1180</w:t>
            </w:r>
            <w:r>
              <w:rPr>
                <w:rFonts w:hint="eastAsia"/>
                <w:sz w:val="18"/>
                <w:szCs w:val="18"/>
                <w:highlight w:val="none"/>
              </w:rPr>
              <w:t>mm</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照明开关</w:t>
            </w:r>
          </w:p>
        </w:tc>
        <w:tc>
          <w:tcPr>
            <w:tcW w:w="4157" w:type="dxa"/>
            <w:vAlign w:val="center"/>
          </w:tcPr>
          <w:p>
            <w:pPr>
              <w:spacing w:line="360" w:lineRule="auto"/>
              <w:rPr>
                <w:sz w:val="18"/>
                <w:szCs w:val="18"/>
                <w:highlight w:val="none"/>
              </w:rPr>
            </w:pPr>
            <w:r>
              <w:rPr>
                <w:rFonts w:hint="eastAsia"/>
                <w:sz w:val="18"/>
                <w:szCs w:val="18"/>
                <w:highlight w:val="none"/>
              </w:rPr>
              <w:t>/</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排水沟盖板</w:t>
            </w:r>
          </w:p>
        </w:tc>
        <w:tc>
          <w:tcPr>
            <w:tcW w:w="4157" w:type="dxa"/>
            <w:vAlign w:val="center"/>
          </w:tcPr>
          <w:p>
            <w:pPr>
              <w:spacing w:line="360" w:lineRule="auto"/>
              <w:rPr>
                <w:sz w:val="18"/>
                <w:szCs w:val="18"/>
                <w:highlight w:val="none"/>
              </w:rPr>
            </w:pPr>
            <w:r>
              <w:rPr>
                <w:rFonts w:hint="eastAsia"/>
                <w:sz w:val="18"/>
                <w:szCs w:val="18"/>
                <w:highlight w:val="none"/>
              </w:rPr>
              <w:t>S</w:t>
            </w:r>
            <w:r>
              <w:rPr>
                <w:sz w:val="18"/>
                <w:szCs w:val="18"/>
                <w:highlight w:val="none"/>
              </w:rPr>
              <w:t>US304</w:t>
            </w:r>
            <w:r>
              <w:rPr>
                <w:rFonts w:hint="eastAsia"/>
                <w:sz w:val="18"/>
                <w:szCs w:val="18"/>
                <w:highlight w:val="none"/>
              </w:rPr>
              <w:t>不锈钢</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制度牌</w:t>
            </w:r>
          </w:p>
        </w:tc>
        <w:tc>
          <w:tcPr>
            <w:tcW w:w="4157" w:type="dxa"/>
            <w:vAlign w:val="center"/>
          </w:tcPr>
          <w:p>
            <w:pPr>
              <w:spacing w:line="360" w:lineRule="auto"/>
              <w:rPr>
                <w:sz w:val="18"/>
                <w:szCs w:val="18"/>
                <w:highlight w:val="none"/>
              </w:rPr>
            </w:pPr>
            <w:r>
              <w:rPr>
                <w:rFonts w:hint="eastAsia"/>
                <w:sz w:val="18"/>
                <w:szCs w:val="18"/>
                <w:highlight w:val="none"/>
              </w:rPr>
              <w:t>公司简介、设备简单操作、系统原理图和故障紧急处理措施</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警示带</w:t>
            </w:r>
          </w:p>
        </w:tc>
        <w:tc>
          <w:tcPr>
            <w:tcW w:w="4157" w:type="dxa"/>
            <w:vAlign w:val="center"/>
          </w:tcPr>
          <w:p>
            <w:pPr>
              <w:spacing w:line="360" w:lineRule="auto"/>
              <w:rPr>
                <w:sz w:val="18"/>
                <w:szCs w:val="18"/>
                <w:highlight w:val="none"/>
              </w:rPr>
            </w:pPr>
            <w:r>
              <w:rPr>
                <w:rFonts w:hint="eastAsia"/>
                <w:sz w:val="18"/>
                <w:szCs w:val="18"/>
                <w:highlight w:val="none"/>
              </w:rPr>
              <w:t>标识重要区域</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标识</w:t>
            </w:r>
          </w:p>
        </w:tc>
        <w:tc>
          <w:tcPr>
            <w:tcW w:w="4157" w:type="dxa"/>
            <w:vAlign w:val="center"/>
          </w:tcPr>
          <w:p>
            <w:pPr>
              <w:spacing w:line="360" w:lineRule="auto"/>
              <w:rPr>
                <w:sz w:val="18"/>
                <w:szCs w:val="18"/>
                <w:highlight w:val="none"/>
              </w:rPr>
            </w:pPr>
            <w:r>
              <w:rPr>
                <w:rFonts w:hint="eastAsia"/>
                <w:sz w:val="18"/>
                <w:szCs w:val="18"/>
                <w:highlight w:val="none"/>
              </w:rPr>
              <w:t>指示配件名称，标识水流方向</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除湿机</w:t>
            </w:r>
          </w:p>
        </w:tc>
        <w:tc>
          <w:tcPr>
            <w:tcW w:w="4157" w:type="dxa"/>
            <w:vAlign w:val="center"/>
          </w:tcPr>
          <w:p>
            <w:pPr>
              <w:spacing w:line="360" w:lineRule="auto"/>
              <w:rPr>
                <w:sz w:val="18"/>
                <w:szCs w:val="18"/>
                <w:highlight w:val="none"/>
              </w:rPr>
            </w:pPr>
            <w:r>
              <w:rPr>
                <w:rFonts w:hint="eastAsia"/>
                <w:sz w:val="18"/>
                <w:szCs w:val="18"/>
                <w:highlight w:val="none"/>
              </w:rPr>
              <w:t>降低泵房湿度</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排风机</w:t>
            </w:r>
          </w:p>
        </w:tc>
        <w:tc>
          <w:tcPr>
            <w:tcW w:w="4157" w:type="dxa"/>
            <w:vAlign w:val="center"/>
          </w:tcPr>
          <w:p>
            <w:pPr>
              <w:spacing w:line="360" w:lineRule="auto"/>
              <w:rPr>
                <w:sz w:val="18"/>
                <w:szCs w:val="18"/>
                <w:highlight w:val="none"/>
              </w:rPr>
            </w:pPr>
            <w:r>
              <w:rPr>
                <w:rFonts w:hint="eastAsia"/>
                <w:sz w:val="18"/>
                <w:szCs w:val="18"/>
                <w:highlight w:val="none"/>
              </w:rPr>
              <w:t>泵房排风</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89" w:type="dxa"/>
            <w:vMerge w:val="restart"/>
            <w:vAlign w:val="center"/>
          </w:tcPr>
          <w:p>
            <w:pPr>
              <w:spacing w:line="360" w:lineRule="auto"/>
              <w:rPr>
                <w:sz w:val="18"/>
                <w:szCs w:val="18"/>
                <w:highlight w:val="none"/>
              </w:rPr>
            </w:pPr>
            <w:r>
              <w:rPr>
                <w:rFonts w:hint="eastAsia"/>
                <w:sz w:val="18"/>
                <w:szCs w:val="18"/>
                <w:highlight w:val="none"/>
              </w:rPr>
              <w:t>维护管理标准配置系统</w:t>
            </w:r>
          </w:p>
        </w:tc>
        <w:tc>
          <w:tcPr>
            <w:tcW w:w="2028" w:type="dxa"/>
            <w:vAlign w:val="center"/>
          </w:tcPr>
          <w:p>
            <w:pPr>
              <w:spacing w:line="360" w:lineRule="auto"/>
              <w:rPr>
                <w:sz w:val="18"/>
                <w:szCs w:val="18"/>
                <w:highlight w:val="none"/>
              </w:rPr>
            </w:pPr>
            <w:r>
              <w:rPr>
                <w:rFonts w:hint="eastAsia"/>
                <w:sz w:val="18"/>
                <w:szCs w:val="18"/>
                <w:highlight w:val="none"/>
              </w:rPr>
              <w:t>资料架</w:t>
            </w:r>
          </w:p>
        </w:tc>
        <w:tc>
          <w:tcPr>
            <w:tcW w:w="4157" w:type="dxa"/>
            <w:vAlign w:val="center"/>
          </w:tcPr>
          <w:p>
            <w:pPr>
              <w:spacing w:line="360" w:lineRule="auto"/>
              <w:rPr>
                <w:sz w:val="18"/>
                <w:szCs w:val="18"/>
                <w:highlight w:val="none"/>
              </w:rPr>
            </w:pPr>
            <w:r>
              <w:rPr>
                <w:rFonts w:hint="eastAsia"/>
                <w:sz w:val="18"/>
                <w:szCs w:val="18"/>
                <w:highlight w:val="none"/>
              </w:rPr>
              <w:t>日常维护备用工具</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挡鼠板</w:t>
            </w:r>
          </w:p>
        </w:tc>
        <w:tc>
          <w:tcPr>
            <w:tcW w:w="4157" w:type="dxa"/>
            <w:vAlign w:val="center"/>
          </w:tcPr>
          <w:p>
            <w:pPr>
              <w:spacing w:line="360" w:lineRule="auto"/>
              <w:rPr>
                <w:sz w:val="18"/>
                <w:szCs w:val="18"/>
                <w:highlight w:val="none"/>
              </w:rPr>
            </w:pPr>
            <w:r>
              <w:rPr>
                <w:rFonts w:hint="eastAsia"/>
                <w:sz w:val="18"/>
                <w:szCs w:val="18"/>
                <w:highlight w:val="none"/>
              </w:rPr>
              <w:t>防止鼠、蛇等小动物进入</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保洁工具</w:t>
            </w:r>
          </w:p>
        </w:tc>
        <w:tc>
          <w:tcPr>
            <w:tcW w:w="4157" w:type="dxa"/>
            <w:vAlign w:val="center"/>
          </w:tcPr>
          <w:p>
            <w:pPr>
              <w:spacing w:line="360" w:lineRule="auto"/>
              <w:rPr>
                <w:sz w:val="18"/>
                <w:szCs w:val="18"/>
                <w:highlight w:val="none"/>
              </w:rPr>
            </w:pPr>
            <w:r>
              <w:rPr>
                <w:rFonts w:hint="eastAsia"/>
                <w:sz w:val="18"/>
                <w:szCs w:val="18"/>
                <w:highlight w:val="none"/>
              </w:rPr>
              <w:t>日常维护时打扫卫生</w:t>
            </w:r>
          </w:p>
        </w:tc>
        <w:tc>
          <w:tcPr>
            <w:tcW w:w="1176" w:type="dxa"/>
            <w:vAlign w:val="center"/>
          </w:tcPr>
          <w:p>
            <w:pPr>
              <w:spacing w:line="360" w:lineRule="auto"/>
              <w:rPr>
                <w:sz w:val="18"/>
                <w:szCs w:val="18"/>
                <w:highlight w:val="none"/>
              </w:rPr>
            </w:pPr>
            <w:r>
              <w:rPr>
                <w:rFonts w:hint="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Merge w:val="continue"/>
            <w:vAlign w:val="center"/>
          </w:tcPr>
          <w:p>
            <w:pPr>
              <w:spacing w:line="360" w:lineRule="auto"/>
              <w:rPr>
                <w:sz w:val="18"/>
                <w:szCs w:val="18"/>
                <w:highlight w:val="none"/>
              </w:rPr>
            </w:pPr>
          </w:p>
        </w:tc>
        <w:tc>
          <w:tcPr>
            <w:tcW w:w="2028" w:type="dxa"/>
            <w:vAlign w:val="center"/>
          </w:tcPr>
          <w:p>
            <w:pPr>
              <w:spacing w:line="360" w:lineRule="auto"/>
              <w:rPr>
                <w:sz w:val="18"/>
                <w:szCs w:val="18"/>
                <w:highlight w:val="none"/>
              </w:rPr>
            </w:pPr>
            <w:r>
              <w:rPr>
                <w:rFonts w:hint="eastAsia"/>
                <w:sz w:val="18"/>
                <w:szCs w:val="18"/>
                <w:highlight w:val="none"/>
              </w:rPr>
              <w:t>消防灭火器</w:t>
            </w:r>
          </w:p>
        </w:tc>
        <w:tc>
          <w:tcPr>
            <w:tcW w:w="4157" w:type="dxa"/>
            <w:vAlign w:val="center"/>
          </w:tcPr>
          <w:p>
            <w:pPr>
              <w:spacing w:line="360" w:lineRule="auto"/>
              <w:rPr>
                <w:sz w:val="18"/>
                <w:szCs w:val="18"/>
                <w:highlight w:val="none"/>
              </w:rPr>
            </w:pPr>
            <w:r>
              <w:rPr>
                <w:rFonts w:hint="eastAsia"/>
                <w:sz w:val="18"/>
                <w:szCs w:val="18"/>
                <w:highlight w:val="none"/>
              </w:rPr>
              <w:t>干粉灭火器</w:t>
            </w:r>
          </w:p>
        </w:tc>
        <w:tc>
          <w:tcPr>
            <w:tcW w:w="1176" w:type="dxa"/>
            <w:vAlign w:val="center"/>
          </w:tcPr>
          <w:p>
            <w:pPr>
              <w:spacing w:line="360" w:lineRule="auto"/>
              <w:rPr>
                <w:sz w:val="18"/>
                <w:szCs w:val="18"/>
                <w:highlight w:val="none"/>
              </w:rPr>
            </w:pPr>
            <w:r>
              <w:rPr>
                <w:rFonts w:hint="eastAsia"/>
                <w:sz w:val="18"/>
                <w:szCs w:val="18"/>
                <w:highlight w:val="none"/>
              </w:rPr>
              <w:t>1套</w:t>
            </w:r>
          </w:p>
        </w:tc>
      </w:tr>
    </w:tbl>
    <w:p>
      <w:pPr>
        <w:spacing w:line="360" w:lineRule="auto"/>
        <w:rPr>
          <w:highlight w:val="none"/>
        </w:rPr>
      </w:pPr>
    </w:p>
    <w:p>
      <w:pPr>
        <w:pStyle w:val="18"/>
        <w:numPr>
          <w:ilvl w:val="0"/>
          <w:numId w:val="1"/>
        </w:numPr>
        <w:spacing w:line="360" w:lineRule="auto"/>
        <w:rPr>
          <w:highlight w:val="none"/>
        </w:rPr>
      </w:pPr>
    </w:p>
    <w:p>
      <w:pPr>
        <w:spacing w:line="360" w:lineRule="auto"/>
        <w:rPr>
          <w:highlight w:val="none"/>
        </w:rPr>
      </w:pPr>
    </w:p>
    <w:sectPr>
      <w:headerReference r:id="rId13" w:type="default"/>
      <w:footerReference r:id="rId14" w:type="default"/>
      <w:pgSz w:w="136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Noto Sans CJK JP Black">
    <w:altName w:val="Segoe Print"/>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w:t>
    </w:r>
    <w:r>
      <w:rPr>
        <w:rFonts w:ascii="宋体" w:hAnsi="宋体"/>
        <w:sz w:val="28"/>
        <w:szCs w:val="28"/>
        <w:lang w:val="en-US"/>
      </w:rPr>
      <w:t xml:space="preserve"> 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7"/>
      </w:rPr>
    </w:pPr>
    <w:r>
      <w:fldChar w:fldCharType="begin"/>
    </w:r>
    <w:r>
      <w:rPr>
        <w:rStyle w:val="47"/>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w:t>
    </w:r>
    <w:r>
      <w:rPr>
        <w:rFonts w:ascii="仿宋" w:hAnsi="仿宋" w:eastAsia="仿宋"/>
        <w:sz w:val="28"/>
        <w:szCs w:val="28"/>
        <w:lang w:val="en-US"/>
      </w:rPr>
      <w:t xml:space="preserve"> 1 -</w:t>
    </w:r>
    <w:r>
      <w:rPr>
        <w:rFonts w:ascii="仿宋" w:hAns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w:t>
    </w:r>
    <w:r>
      <w:rPr>
        <w:rFonts w:ascii="宋体" w:hAnsi="宋体"/>
        <w:sz w:val="28"/>
        <w:szCs w:val="28"/>
        <w:lang w:val="en-US"/>
      </w:rPr>
      <w:t xml:space="preserve"> 6 -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w:t>
    </w:r>
    <w:r>
      <w:rPr>
        <w:rFonts w:ascii="仿宋" w:hAnsi="仿宋" w:eastAsia="仿宋"/>
        <w:sz w:val="28"/>
        <w:szCs w:val="28"/>
        <w:lang w:val="en-US"/>
      </w:rPr>
      <w:t xml:space="preserve"> 1 -</w:t>
    </w:r>
    <w:r>
      <w:rPr>
        <w:rFonts w:ascii="仿宋" w:hAns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240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w:t>
    </w:r>
    <w:r>
      <w:rPr>
        <w:rFonts w:ascii="宋体" w:hAnsi="宋体"/>
        <w:sz w:val="28"/>
        <w:szCs w:val="28"/>
        <w:lang w:val="en-US"/>
      </w:rPr>
      <w:t xml:space="preserve"> 30 -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e4vlgFgIAABkEAAAOAAAAAAAA&#10;AAEAIAAAAB8BAABkcnMvZTJvRG9jLnhtbFBLBQYAAAAABgAGAFkBAACnBQAAAAA=&#10;">
              <v:fill on="f" focussize="0,0"/>
              <v:stroke on="f" weight="0.5pt"/>
              <v:imagedata o:title=""/>
              <o:lock v:ext="edit" aspectratio="f"/>
              <v:textbox inset="0mm,0mm,0mm,0mm" style="mso-fit-shape-to-text:t;">
                <w:txbxContent>
                  <w:p>
                    <w:pPr>
                      <w:pStyle w:val="2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 PAGE </w:instrText>
    </w:r>
    <w:r>
      <w:rPr>
        <w:rStyle w:val="47"/>
      </w:rPr>
      <w:fldChar w:fldCharType="separate"/>
    </w:r>
    <w:r>
      <w:rPr>
        <w:rStyle w:val="47"/>
      </w:rPr>
      <w:t>47</w:t>
    </w:r>
    <w:r>
      <w:rPr>
        <w:rStyle w:val="47"/>
      </w:rPr>
      <w:fldChar w:fldCharType="end"/>
    </w:r>
  </w:p>
  <w:p>
    <w:pPr>
      <w:pStyle w:val="28"/>
      <w:rPr>
        <w:rFonts w:ascii="宋体"/>
        <w:sz w:val="28"/>
        <w:szCs w:val="28"/>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6E6B6"/>
    <w:multiLevelType w:val="multilevel"/>
    <w:tmpl w:val="C886E6B6"/>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9E79403"/>
    <w:multiLevelType w:val="singleLevel"/>
    <w:tmpl w:val="D9E79403"/>
    <w:lvl w:ilvl="0" w:tentative="0">
      <w:start w:val="1"/>
      <w:numFmt w:val="decimal"/>
      <w:suff w:val="nothing"/>
      <w:lvlText w:val="%1、"/>
      <w:lvlJc w:val="left"/>
    </w:lvl>
  </w:abstractNum>
  <w:abstractNum w:abstractNumId="2">
    <w:nsid w:val="FB887730"/>
    <w:multiLevelType w:val="singleLevel"/>
    <w:tmpl w:val="FB887730"/>
    <w:lvl w:ilvl="0" w:tentative="0">
      <w:start w:val="1"/>
      <w:numFmt w:val="chineseCounting"/>
      <w:suff w:val="nothing"/>
      <w:lvlText w:val="%1、"/>
      <w:lvlJc w:val="left"/>
      <w:pPr>
        <w:ind w:left="-420" w:firstLine="420"/>
      </w:pPr>
      <w:rPr>
        <w:rFonts w:hint="eastAsia"/>
      </w:rPr>
    </w:lvl>
  </w:abstractNum>
  <w:abstractNum w:abstractNumId="3">
    <w:nsid w:val="1D8CB8C0"/>
    <w:multiLevelType w:val="singleLevel"/>
    <w:tmpl w:val="1D8CB8C0"/>
    <w:lvl w:ilvl="0" w:tentative="0">
      <w:start w:val="2"/>
      <w:numFmt w:val="decimal"/>
      <w:suff w:val="nothing"/>
      <w:lvlText w:val="%1、"/>
      <w:lvlJc w:val="left"/>
      <w:pPr>
        <w:ind w:left="-2"/>
      </w:pPr>
    </w:lvl>
  </w:abstractNum>
  <w:abstractNum w:abstractNumId="4">
    <w:nsid w:val="7783D12A"/>
    <w:multiLevelType w:val="singleLevel"/>
    <w:tmpl w:val="7783D12A"/>
    <w:lvl w:ilvl="0" w:tentative="0">
      <w:start w:val="1"/>
      <w:numFmt w:val="chineseCounting"/>
      <w:suff w:val="space"/>
      <w:lvlText w:val="第%1章"/>
      <w:lvlJc w:val="left"/>
      <w:rPr>
        <w:rFonts w:hint="eastAsia" w:ascii="宋体" w:hAnsi="宋体" w:eastAsia="宋体" w:cs="仿宋"/>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34307D"/>
    <w:rsid w:val="0005047B"/>
    <w:rsid w:val="000523E0"/>
    <w:rsid w:val="000524AC"/>
    <w:rsid w:val="00055535"/>
    <w:rsid w:val="00067E88"/>
    <w:rsid w:val="0007177D"/>
    <w:rsid w:val="00072B60"/>
    <w:rsid w:val="000754C3"/>
    <w:rsid w:val="00090362"/>
    <w:rsid w:val="000A3972"/>
    <w:rsid w:val="000A3EEB"/>
    <w:rsid w:val="000B3EE4"/>
    <w:rsid w:val="000D3B3E"/>
    <w:rsid w:val="000D6656"/>
    <w:rsid w:val="000E6943"/>
    <w:rsid w:val="00101B85"/>
    <w:rsid w:val="001023E9"/>
    <w:rsid w:val="0011682A"/>
    <w:rsid w:val="0012174D"/>
    <w:rsid w:val="00133431"/>
    <w:rsid w:val="001378F5"/>
    <w:rsid w:val="0015560A"/>
    <w:rsid w:val="0015597D"/>
    <w:rsid w:val="00182747"/>
    <w:rsid w:val="00184453"/>
    <w:rsid w:val="00196CE3"/>
    <w:rsid w:val="001A0EB8"/>
    <w:rsid w:val="001D5FDE"/>
    <w:rsid w:val="001D7769"/>
    <w:rsid w:val="001E1A7A"/>
    <w:rsid w:val="001F62A5"/>
    <w:rsid w:val="001F799A"/>
    <w:rsid w:val="002040D8"/>
    <w:rsid w:val="002077CB"/>
    <w:rsid w:val="002149AC"/>
    <w:rsid w:val="0022788C"/>
    <w:rsid w:val="00232ABC"/>
    <w:rsid w:val="00233767"/>
    <w:rsid w:val="002404FF"/>
    <w:rsid w:val="002405F9"/>
    <w:rsid w:val="00252BA0"/>
    <w:rsid w:val="00261B37"/>
    <w:rsid w:val="002677AB"/>
    <w:rsid w:val="00270721"/>
    <w:rsid w:val="00271422"/>
    <w:rsid w:val="00282C61"/>
    <w:rsid w:val="00293694"/>
    <w:rsid w:val="002A21BC"/>
    <w:rsid w:val="002B3F9F"/>
    <w:rsid w:val="002B4E75"/>
    <w:rsid w:val="002E65A3"/>
    <w:rsid w:val="002F4CF6"/>
    <w:rsid w:val="002F530B"/>
    <w:rsid w:val="002F55FC"/>
    <w:rsid w:val="002F577A"/>
    <w:rsid w:val="00300109"/>
    <w:rsid w:val="00302376"/>
    <w:rsid w:val="00305E4D"/>
    <w:rsid w:val="00313D51"/>
    <w:rsid w:val="00315962"/>
    <w:rsid w:val="00332FA7"/>
    <w:rsid w:val="0033410D"/>
    <w:rsid w:val="0034307D"/>
    <w:rsid w:val="003552EA"/>
    <w:rsid w:val="00356E54"/>
    <w:rsid w:val="0037523D"/>
    <w:rsid w:val="003860DF"/>
    <w:rsid w:val="0038711F"/>
    <w:rsid w:val="003A380F"/>
    <w:rsid w:val="003A39BD"/>
    <w:rsid w:val="003A78A9"/>
    <w:rsid w:val="003B53F0"/>
    <w:rsid w:val="003C76D4"/>
    <w:rsid w:val="003D71F1"/>
    <w:rsid w:val="003F452F"/>
    <w:rsid w:val="004030F6"/>
    <w:rsid w:val="00403D4F"/>
    <w:rsid w:val="00406278"/>
    <w:rsid w:val="00430137"/>
    <w:rsid w:val="004310DF"/>
    <w:rsid w:val="00432A72"/>
    <w:rsid w:val="00432C4A"/>
    <w:rsid w:val="00436C27"/>
    <w:rsid w:val="00437E24"/>
    <w:rsid w:val="0044700B"/>
    <w:rsid w:val="004569FE"/>
    <w:rsid w:val="00456E25"/>
    <w:rsid w:val="004570FD"/>
    <w:rsid w:val="004627E4"/>
    <w:rsid w:val="0046620D"/>
    <w:rsid w:val="004730F8"/>
    <w:rsid w:val="00484328"/>
    <w:rsid w:val="00490CE2"/>
    <w:rsid w:val="00493D69"/>
    <w:rsid w:val="00494E03"/>
    <w:rsid w:val="004B0E6C"/>
    <w:rsid w:val="004B265D"/>
    <w:rsid w:val="004B373F"/>
    <w:rsid w:val="004C1866"/>
    <w:rsid w:val="004C5E72"/>
    <w:rsid w:val="004D0B5F"/>
    <w:rsid w:val="004E1228"/>
    <w:rsid w:val="0050338E"/>
    <w:rsid w:val="005124AC"/>
    <w:rsid w:val="00514C0E"/>
    <w:rsid w:val="00536BD5"/>
    <w:rsid w:val="00540D44"/>
    <w:rsid w:val="00562128"/>
    <w:rsid w:val="005759F6"/>
    <w:rsid w:val="005774C7"/>
    <w:rsid w:val="00582AA6"/>
    <w:rsid w:val="005946A4"/>
    <w:rsid w:val="0059496D"/>
    <w:rsid w:val="005A40E5"/>
    <w:rsid w:val="005A68D8"/>
    <w:rsid w:val="005A6EA5"/>
    <w:rsid w:val="00601014"/>
    <w:rsid w:val="006118AE"/>
    <w:rsid w:val="00612F6D"/>
    <w:rsid w:val="00614D9B"/>
    <w:rsid w:val="0062158E"/>
    <w:rsid w:val="00633C09"/>
    <w:rsid w:val="00636722"/>
    <w:rsid w:val="00646CB4"/>
    <w:rsid w:val="00661EC3"/>
    <w:rsid w:val="00664AD8"/>
    <w:rsid w:val="00686842"/>
    <w:rsid w:val="0069506A"/>
    <w:rsid w:val="006A414A"/>
    <w:rsid w:val="006B568D"/>
    <w:rsid w:val="006C1403"/>
    <w:rsid w:val="006E4BD1"/>
    <w:rsid w:val="006E5857"/>
    <w:rsid w:val="00703ECC"/>
    <w:rsid w:val="007179BE"/>
    <w:rsid w:val="007216BB"/>
    <w:rsid w:val="007308E6"/>
    <w:rsid w:val="007340F7"/>
    <w:rsid w:val="00747FF6"/>
    <w:rsid w:val="00751D58"/>
    <w:rsid w:val="007537DC"/>
    <w:rsid w:val="00754F4C"/>
    <w:rsid w:val="0077425B"/>
    <w:rsid w:val="00780FE7"/>
    <w:rsid w:val="00786088"/>
    <w:rsid w:val="007A4A8E"/>
    <w:rsid w:val="007B18D8"/>
    <w:rsid w:val="007B6B86"/>
    <w:rsid w:val="007C61C4"/>
    <w:rsid w:val="007D256B"/>
    <w:rsid w:val="007D6EC0"/>
    <w:rsid w:val="007D713E"/>
    <w:rsid w:val="007D7C82"/>
    <w:rsid w:val="007F0AF6"/>
    <w:rsid w:val="00801DB8"/>
    <w:rsid w:val="008028D6"/>
    <w:rsid w:val="008129C1"/>
    <w:rsid w:val="008263AA"/>
    <w:rsid w:val="008270D1"/>
    <w:rsid w:val="00830BD1"/>
    <w:rsid w:val="0083234C"/>
    <w:rsid w:val="0084260E"/>
    <w:rsid w:val="00843A14"/>
    <w:rsid w:val="0084734D"/>
    <w:rsid w:val="0085301D"/>
    <w:rsid w:val="00853C33"/>
    <w:rsid w:val="0085724E"/>
    <w:rsid w:val="00863AEA"/>
    <w:rsid w:val="008721E1"/>
    <w:rsid w:val="00877AF3"/>
    <w:rsid w:val="0088032B"/>
    <w:rsid w:val="008827CB"/>
    <w:rsid w:val="00890867"/>
    <w:rsid w:val="008A347D"/>
    <w:rsid w:val="008A685E"/>
    <w:rsid w:val="008A6A21"/>
    <w:rsid w:val="008C58D1"/>
    <w:rsid w:val="008D5E92"/>
    <w:rsid w:val="008F6CD2"/>
    <w:rsid w:val="00907265"/>
    <w:rsid w:val="00913207"/>
    <w:rsid w:val="00917D9E"/>
    <w:rsid w:val="009239A6"/>
    <w:rsid w:val="00935F52"/>
    <w:rsid w:val="0096058D"/>
    <w:rsid w:val="00961B88"/>
    <w:rsid w:val="00963EC7"/>
    <w:rsid w:val="00967775"/>
    <w:rsid w:val="00971864"/>
    <w:rsid w:val="009772E7"/>
    <w:rsid w:val="009A1A8E"/>
    <w:rsid w:val="009B6351"/>
    <w:rsid w:val="009C32AD"/>
    <w:rsid w:val="009C4778"/>
    <w:rsid w:val="009D5B38"/>
    <w:rsid w:val="009E39B8"/>
    <w:rsid w:val="009E4FEA"/>
    <w:rsid w:val="009F2152"/>
    <w:rsid w:val="009F4419"/>
    <w:rsid w:val="009F51DC"/>
    <w:rsid w:val="009F78C1"/>
    <w:rsid w:val="00A016C1"/>
    <w:rsid w:val="00A11737"/>
    <w:rsid w:val="00A12D4A"/>
    <w:rsid w:val="00A16486"/>
    <w:rsid w:val="00A50334"/>
    <w:rsid w:val="00A54610"/>
    <w:rsid w:val="00A56989"/>
    <w:rsid w:val="00A56C15"/>
    <w:rsid w:val="00A72A25"/>
    <w:rsid w:val="00A74838"/>
    <w:rsid w:val="00A84869"/>
    <w:rsid w:val="00A85291"/>
    <w:rsid w:val="00A92743"/>
    <w:rsid w:val="00A93C3E"/>
    <w:rsid w:val="00AB2BDE"/>
    <w:rsid w:val="00AC45FD"/>
    <w:rsid w:val="00AF1851"/>
    <w:rsid w:val="00AF4D30"/>
    <w:rsid w:val="00B053B5"/>
    <w:rsid w:val="00B20FC4"/>
    <w:rsid w:val="00B330FA"/>
    <w:rsid w:val="00B409B3"/>
    <w:rsid w:val="00B421A6"/>
    <w:rsid w:val="00B42B8C"/>
    <w:rsid w:val="00B43719"/>
    <w:rsid w:val="00B43E41"/>
    <w:rsid w:val="00B44C64"/>
    <w:rsid w:val="00B51A16"/>
    <w:rsid w:val="00B5585C"/>
    <w:rsid w:val="00B659ED"/>
    <w:rsid w:val="00B973FA"/>
    <w:rsid w:val="00BA6A3A"/>
    <w:rsid w:val="00BB789F"/>
    <w:rsid w:val="00BD02A0"/>
    <w:rsid w:val="00BE0766"/>
    <w:rsid w:val="00BF3BD5"/>
    <w:rsid w:val="00C05BB0"/>
    <w:rsid w:val="00C23DA6"/>
    <w:rsid w:val="00C405F9"/>
    <w:rsid w:val="00C47433"/>
    <w:rsid w:val="00C5115B"/>
    <w:rsid w:val="00C54335"/>
    <w:rsid w:val="00C65AD8"/>
    <w:rsid w:val="00C8112D"/>
    <w:rsid w:val="00C85942"/>
    <w:rsid w:val="00C879AA"/>
    <w:rsid w:val="00C97D1D"/>
    <w:rsid w:val="00CA28F6"/>
    <w:rsid w:val="00CA41F7"/>
    <w:rsid w:val="00CA4B2F"/>
    <w:rsid w:val="00CB157A"/>
    <w:rsid w:val="00CB7154"/>
    <w:rsid w:val="00CC6F2A"/>
    <w:rsid w:val="00CD4FA9"/>
    <w:rsid w:val="00CE37ED"/>
    <w:rsid w:val="00D16CF3"/>
    <w:rsid w:val="00D212B6"/>
    <w:rsid w:val="00D22EC0"/>
    <w:rsid w:val="00D267F9"/>
    <w:rsid w:val="00D301DC"/>
    <w:rsid w:val="00D328FA"/>
    <w:rsid w:val="00D3627F"/>
    <w:rsid w:val="00D75FDC"/>
    <w:rsid w:val="00D937B2"/>
    <w:rsid w:val="00DA2963"/>
    <w:rsid w:val="00DA34C4"/>
    <w:rsid w:val="00DC3A54"/>
    <w:rsid w:val="00DD05AF"/>
    <w:rsid w:val="00DE333D"/>
    <w:rsid w:val="00DE3F27"/>
    <w:rsid w:val="00DE74DF"/>
    <w:rsid w:val="00DF1281"/>
    <w:rsid w:val="00DF320E"/>
    <w:rsid w:val="00E137ED"/>
    <w:rsid w:val="00E47617"/>
    <w:rsid w:val="00E51672"/>
    <w:rsid w:val="00E51E5E"/>
    <w:rsid w:val="00E532B1"/>
    <w:rsid w:val="00E53E43"/>
    <w:rsid w:val="00E639FE"/>
    <w:rsid w:val="00E70E26"/>
    <w:rsid w:val="00E7703C"/>
    <w:rsid w:val="00E81CF3"/>
    <w:rsid w:val="00E87103"/>
    <w:rsid w:val="00EA2CCF"/>
    <w:rsid w:val="00EC0BC3"/>
    <w:rsid w:val="00EF1D14"/>
    <w:rsid w:val="00EF2581"/>
    <w:rsid w:val="00EF4AA2"/>
    <w:rsid w:val="00EF54F1"/>
    <w:rsid w:val="00F01F80"/>
    <w:rsid w:val="00F100B5"/>
    <w:rsid w:val="00F157F7"/>
    <w:rsid w:val="00F3644E"/>
    <w:rsid w:val="00F4099D"/>
    <w:rsid w:val="00F42741"/>
    <w:rsid w:val="00F77F13"/>
    <w:rsid w:val="00F81A1F"/>
    <w:rsid w:val="00F8690F"/>
    <w:rsid w:val="00F93FA6"/>
    <w:rsid w:val="00F94D74"/>
    <w:rsid w:val="00FA410E"/>
    <w:rsid w:val="00FB1053"/>
    <w:rsid w:val="00FC3546"/>
    <w:rsid w:val="00FD2D69"/>
    <w:rsid w:val="00FD334A"/>
    <w:rsid w:val="00FD3995"/>
    <w:rsid w:val="00FD762C"/>
    <w:rsid w:val="00FE1989"/>
    <w:rsid w:val="00FF22CB"/>
    <w:rsid w:val="00FF7D59"/>
    <w:rsid w:val="01457570"/>
    <w:rsid w:val="01FE2115"/>
    <w:rsid w:val="044A0CDC"/>
    <w:rsid w:val="065D75E6"/>
    <w:rsid w:val="08AB5830"/>
    <w:rsid w:val="09D20467"/>
    <w:rsid w:val="09F40600"/>
    <w:rsid w:val="0A4461BB"/>
    <w:rsid w:val="0C7B747F"/>
    <w:rsid w:val="0D026C5D"/>
    <w:rsid w:val="0D1C6907"/>
    <w:rsid w:val="0DDA0E4E"/>
    <w:rsid w:val="0E915C95"/>
    <w:rsid w:val="0F8E46BD"/>
    <w:rsid w:val="0FA14ECF"/>
    <w:rsid w:val="100072F3"/>
    <w:rsid w:val="12347474"/>
    <w:rsid w:val="138C77EC"/>
    <w:rsid w:val="144F24E8"/>
    <w:rsid w:val="16355E9E"/>
    <w:rsid w:val="166A6360"/>
    <w:rsid w:val="169D26FD"/>
    <w:rsid w:val="177B137A"/>
    <w:rsid w:val="19BF06E2"/>
    <w:rsid w:val="1B08452C"/>
    <w:rsid w:val="1B65415B"/>
    <w:rsid w:val="1C2B7CF3"/>
    <w:rsid w:val="1D8148D9"/>
    <w:rsid w:val="20483E39"/>
    <w:rsid w:val="20610257"/>
    <w:rsid w:val="217C7BC9"/>
    <w:rsid w:val="221A6769"/>
    <w:rsid w:val="22EF390C"/>
    <w:rsid w:val="231074CD"/>
    <w:rsid w:val="25E16379"/>
    <w:rsid w:val="270C244A"/>
    <w:rsid w:val="28F40AAB"/>
    <w:rsid w:val="29485BE7"/>
    <w:rsid w:val="2B4203AD"/>
    <w:rsid w:val="2B844176"/>
    <w:rsid w:val="2BA017FB"/>
    <w:rsid w:val="2BF41192"/>
    <w:rsid w:val="2D135B59"/>
    <w:rsid w:val="2D991C48"/>
    <w:rsid w:val="2EDC407A"/>
    <w:rsid w:val="3390636A"/>
    <w:rsid w:val="33FC1897"/>
    <w:rsid w:val="37C8447C"/>
    <w:rsid w:val="38425901"/>
    <w:rsid w:val="38C60AD7"/>
    <w:rsid w:val="39207029"/>
    <w:rsid w:val="3A9C7A8A"/>
    <w:rsid w:val="3AFA5235"/>
    <w:rsid w:val="3DA354E7"/>
    <w:rsid w:val="3DB633C8"/>
    <w:rsid w:val="3F346B36"/>
    <w:rsid w:val="3F464B74"/>
    <w:rsid w:val="408F157F"/>
    <w:rsid w:val="423A7449"/>
    <w:rsid w:val="424C2320"/>
    <w:rsid w:val="42517CE6"/>
    <w:rsid w:val="4295500B"/>
    <w:rsid w:val="42B35B25"/>
    <w:rsid w:val="42F518B8"/>
    <w:rsid w:val="433763F0"/>
    <w:rsid w:val="43465A4C"/>
    <w:rsid w:val="44135812"/>
    <w:rsid w:val="44135BB6"/>
    <w:rsid w:val="45B25C51"/>
    <w:rsid w:val="460848BA"/>
    <w:rsid w:val="469D229F"/>
    <w:rsid w:val="46BD540A"/>
    <w:rsid w:val="475B0002"/>
    <w:rsid w:val="47DA7B3C"/>
    <w:rsid w:val="485550C6"/>
    <w:rsid w:val="49496436"/>
    <w:rsid w:val="494F7AC0"/>
    <w:rsid w:val="4B0608F1"/>
    <w:rsid w:val="4C872DC5"/>
    <w:rsid w:val="4F407EFD"/>
    <w:rsid w:val="4F7D390D"/>
    <w:rsid w:val="51807F52"/>
    <w:rsid w:val="54C41C1F"/>
    <w:rsid w:val="580F38DA"/>
    <w:rsid w:val="582D1210"/>
    <w:rsid w:val="59A3038F"/>
    <w:rsid w:val="59F958E8"/>
    <w:rsid w:val="5B4431EA"/>
    <w:rsid w:val="5E9E649C"/>
    <w:rsid w:val="5F166FCB"/>
    <w:rsid w:val="604D3DEB"/>
    <w:rsid w:val="6085104B"/>
    <w:rsid w:val="61477A36"/>
    <w:rsid w:val="62013F63"/>
    <w:rsid w:val="63445C60"/>
    <w:rsid w:val="639E0B7C"/>
    <w:rsid w:val="64665F6F"/>
    <w:rsid w:val="65C7450B"/>
    <w:rsid w:val="690E5000"/>
    <w:rsid w:val="692768C9"/>
    <w:rsid w:val="695529A2"/>
    <w:rsid w:val="69C07E4D"/>
    <w:rsid w:val="6BE8129A"/>
    <w:rsid w:val="6E4A6E65"/>
    <w:rsid w:val="6FC565D0"/>
    <w:rsid w:val="70EF1FAE"/>
    <w:rsid w:val="712B08E2"/>
    <w:rsid w:val="71426E2C"/>
    <w:rsid w:val="715E686F"/>
    <w:rsid w:val="72A43553"/>
    <w:rsid w:val="73921C1A"/>
    <w:rsid w:val="73970843"/>
    <w:rsid w:val="73F557E2"/>
    <w:rsid w:val="740757D2"/>
    <w:rsid w:val="74FA5EC5"/>
    <w:rsid w:val="786F47FF"/>
    <w:rsid w:val="79615BCA"/>
    <w:rsid w:val="7AF06A58"/>
    <w:rsid w:val="7BC23294"/>
    <w:rsid w:val="7C6F424F"/>
    <w:rsid w:val="7CA37D89"/>
    <w:rsid w:val="7D525543"/>
    <w:rsid w:val="7E1938FC"/>
    <w:rsid w:val="7E255FEC"/>
    <w:rsid w:val="7E423E53"/>
    <w:rsid w:val="7E5D57A0"/>
    <w:rsid w:val="7E8E43A4"/>
    <w:rsid w:val="7EB268B9"/>
    <w:rsid w:val="7F065AED"/>
    <w:rsid w:val="A9FBA427"/>
    <w:rsid w:val="FFFD9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qFormat="1" w:unhideWhenUsed="0" w:uiPriority="0" w:semiHidden="0"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51"/>
    <w:qFormat/>
    <w:uiPriority w:val="99"/>
    <w:pPr>
      <w:keepNext/>
      <w:keepLines/>
      <w:widowControl w:val="0"/>
      <w:spacing w:before="340" w:after="330" w:line="578" w:lineRule="auto"/>
      <w:jc w:val="both"/>
      <w:outlineLvl w:val="0"/>
    </w:pPr>
    <w:rPr>
      <w:rFonts w:ascii="Times New Roman" w:hAnsi="Times New Roman" w:cs="Times New Roman"/>
      <w:b/>
      <w:bCs/>
      <w:kern w:val="44"/>
      <w:sz w:val="44"/>
      <w:szCs w:val="44"/>
      <w:lang w:val="zh-CN"/>
    </w:rPr>
  </w:style>
  <w:style w:type="paragraph" w:styleId="4">
    <w:name w:val="heading 2"/>
    <w:basedOn w:val="1"/>
    <w:next w:val="1"/>
    <w:link w:val="52"/>
    <w:qFormat/>
    <w:uiPriority w:val="0"/>
    <w:pPr>
      <w:keepNext/>
      <w:keepLines/>
      <w:widowControl w:val="0"/>
      <w:spacing w:before="260" w:after="260" w:line="416" w:lineRule="auto"/>
      <w:jc w:val="center"/>
      <w:outlineLvl w:val="1"/>
    </w:pPr>
    <w:rPr>
      <w:rFonts w:ascii="Arial" w:hAnsi="Arial" w:eastAsia="黑体" w:cs="Times New Roman"/>
      <w:b/>
      <w:bCs/>
      <w:sz w:val="28"/>
      <w:szCs w:val="32"/>
      <w:lang w:val="zh-CN"/>
    </w:rPr>
  </w:style>
  <w:style w:type="paragraph" w:styleId="5">
    <w:name w:val="heading 3"/>
    <w:basedOn w:val="1"/>
    <w:next w:val="1"/>
    <w:link w:val="53"/>
    <w:qFormat/>
    <w:uiPriority w:val="99"/>
    <w:pPr>
      <w:keepNext/>
      <w:keepLines/>
      <w:widowControl w:val="0"/>
      <w:spacing w:before="260" w:after="260" w:line="416" w:lineRule="auto"/>
      <w:jc w:val="both"/>
      <w:outlineLvl w:val="2"/>
    </w:pPr>
    <w:rPr>
      <w:rFonts w:ascii="Times New Roman" w:hAnsi="Times New Roman" w:cs="Times New Roman"/>
      <w:b/>
      <w:bCs/>
      <w:szCs w:val="32"/>
      <w:lang w:val="zh-CN"/>
    </w:rPr>
  </w:style>
  <w:style w:type="paragraph" w:styleId="6">
    <w:name w:val="heading 4"/>
    <w:basedOn w:val="1"/>
    <w:next w:val="1"/>
    <w:link w:val="54"/>
    <w:qFormat/>
    <w:uiPriority w:val="99"/>
    <w:pPr>
      <w:keepNext/>
      <w:keepLines/>
      <w:widowControl w:val="0"/>
      <w:spacing w:before="280" w:after="290" w:line="372" w:lineRule="auto"/>
      <w:jc w:val="both"/>
      <w:outlineLvl w:val="3"/>
    </w:pPr>
    <w:rPr>
      <w:rFonts w:ascii="Arial" w:hAnsi="Arial" w:eastAsia="黑体" w:cs="Times New Roman"/>
      <w:b/>
      <w:bCs/>
      <w:sz w:val="28"/>
      <w:szCs w:val="28"/>
      <w:lang w:val="zh-CN"/>
    </w:rPr>
  </w:style>
  <w:style w:type="paragraph" w:styleId="7">
    <w:name w:val="heading 5"/>
    <w:basedOn w:val="1"/>
    <w:next w:val="1"/>
    <w:link w:val="55"/>
    <w:qFormat/>
    <w:uiPriority w:val="99"/>
    <w:pPr>
      <w:keepNext/>
      <w:keepLines/>
      <w:widowControl w:val="0"/>
      <w:spacing w:before="280" w:after="290" w:line="372" w:lineRule="auto"/>
      <w:jc w:val="both"/>
      <w:outlineLvl w:val="4"/>
    </w:pPr>
    <w:rPr>
      <w:rFonts w:ascii="Times New Roman" w:hAnsi="Times New Roman" w:cs="Times New Roman"/>
      <w:b/>
      <w:bCs/>
      <w:sz w:val="28"/>
      <w:szCs w:val="28"/>
      <w:lang w:val="zh-CN"/>
    </w:rPr>
  </w:style>
  <w:style w:type="paragraph" w:styleId="8">
    <w:name w:val="heading 6"/>
    <w:basedOn w:val="1"/>
    <w:next w:val="1"/>
    <w:link w:val="56"/>
    <w:qFormat/>
    <w:uiPriority w:val="99"/>
    <w:pPr>
      <w:keepNext/>
      <w:keepLines/>
      <w:widowControl w:val="0"/>
      <w:spacing w:before="240" w:after="64" w:line="317" w:lineRule="auto"/>
      <w:jc w:val="both"/>
      <w:outlineLvl w:val="5"/>
    </w:pPr>
    <w:rPr>
      <w:rFonts w:ascii="Cambria" w:hAnsi="Cambria" w:cs="Times New Roman"/>
      <w:b/>
      <w:bCs/>
      <w:szCs w:val="20"/>
      <w:lang w:val="zh-CN"/>
    </w:rPr>
  </w:style>
  <w:style w:type="paragraph" w:styleId="9">
    <w:name w:val="heading 7"/>
    <w:basedOn w:val="1"/>
    <w:next w:val="1"/>
    <w:link w:val="57"/>
    <w:qFormat/>
    <w:uiPriority w:val="99"/>
    <w:pPr>
      <w:keepNext/>
      <w:keepLines/>
      <w:widowControl w:val="0"/>
      <w:spacing w:before="240" w:after="64" w:line="317" w:lineRule="auto"/>
      <w:jc w:val="both"/>
      <w:outlineLvl w:val="6"/>
    </w:pPr>
    <w:rPr>
      <w:rFonts w:ascii="Calibri" w:hAnsi="Calibri" w:cs="Times New Roman"/>
      <w:b/>
      <w:bCs/>
      <w:szCs w:val="20"/>
      <w:lang w:val="zh-CN"/>
    </w:rPr>
  </w:style>
  <w:style w:type="paragraph" w:styleId="10">
    <w:name w:val="heading 8"/>
    <w:basedOn w:val="1"/>
    <w:next w:val="1"/>
    <w:link w:val="58"/>
    <w:qFormat/>
    <w:uiPriority w:val="99"/>
    <w:pPr>
      <w:keepNext/>
      <w:keepLines/>
      <w:widowControl w:val="0"/>
      <w:spacing w:before="240" w:after="64" w:line="317" w:lineRule="auto"/>
      <w:jc w:val="both"/>
      <w:outlineLvl w:val="7"/>
    </w:pPr>
    <w:rPr>
      <w:rFonts w:ascii="Cambria" w:hAnsi="Cambria" w:cs="Times New Roman"/>
      <w:szCs w:val="20"/>
      <w:lang w:val="zh-CN"/>
    </w:rPr>
  </w:style>
  <w:style w:type="paragraph" w:styleId="11">
    <w:name w:val="heading 9"/>
    <w:basedOn w:val="1"/>
    <w:next w:val="1"/>
    <w:link w:val="59"/>
    <w:qFormat/>
    <w:uiPriority w:val="99"/>
    <w:pPr>
      <w:keepNext/>
      <w:keepLines/>
      <w:widowControl w:val="0"/>
      <w:spacing w:before="240" w:after="64" w:line="317" w:lineRule="auto"/>
      <w:jc w:val="both"/>
      <w:outlineLvl w:val="8"/>
    </w:pPr>
    <w:rPr>
      <w:rFonts w:ascii="Cambria" w:hAnsi="Cambria" w:cs="Times New Roman"/>
      <w:sz w:val="20"/>
      <w:szCs w:val="21"/>
      <w:lang w:val="zh-CN"/>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styleId="12">
    <w:name w:val="toc 7"/>
    <w:basedOn w:val="1"/>
    <w:next w:val="1"/>
    <w:qFormat/>
    <w:uiPriority w:val="99"/>
    <w:pPr>
      <w:widowControl w:val="0"/>
      <w:ind w:left="2520" w:leftChars="1200"/>
      <w:jc w:val="both"/>
    </w:pPr>
    <w:rPr>
      <w:rFonts w:ascii="Calibri" w:hAnsi="Calibri" w:cs="Calibri"/>
      <w:kern w:val="2"/>
      <w:sz w:val="21"/>
      <w:szCs w:val="21"/>
    </w:rPr>
  </w:style>
  <w:style w:type="paragraph" w:styleId="13">
    <w:name w:val="index 8"/>
    <w:basedOn w:val="1"/>
    <w:next w:val="1"/>
    <w:qFormat/>
    <w:uiPriority w:val="0"/>
    <w:pPr>
      <w:widowControl w:val="0"/>
      <w:ind w:left="1400" w:leftChars="1400"/>
      <w:jc w:val="both"/>
    </w:pPr>
    <w:rPr>
      <w:rFonts w:ascii="Times New Roman" w:hAnsi="Times New Roman" w:cs="Times New Roman"/>
      <w:kern w:val="2"/>
      <w:sz w:val="21"/>
    </w:rPr>
  </w:style>
  <w:style w:type="paragraph" w:styleId="14">
    <w:name w:val="Normal Indent"/>
    <w:basedOn w:val="1"/>
    <w:link w:val="60"/>
    <w:qFormat/>
    <w:uiPriority w:val="0"/>
    <w:pPr>
      <w:widowControl w:val="0"/>
      <w:ind w:firstLine="420" w:firstLineChars="200"/>
      <w:jc w:val="both"/>
    </w:pPr>
    <w:rPr>
      <w:rFonts w:ascii="Times New Roman" w:hAnsi="Times New Roman" w:cs="Times New Roman"/>
      <w:szCs w:val="20"/>
      <w:lang w:val="zh-CN"/>
    </w:rPr>
  </w:style>
  <w:style w:type="paragraph" w:styleId="15">
    <w:name w:val="caption"/>
    <w:basedOn w:val="1"/>
    <w:next w:val="1"/>
    <w:qFormat/>
    <w:uiPriority w:val="99"/>
    <w:pPr>
      <w:widowControl w:val="0"/>
      <w:ind w:firstLine="6290" w:firstLineChars="2282"/>
      <w:jc w:val="both"/>
    </w:pPr>
    <w:rPr>
      <w:rFonts w:ascii="Times New Roman" w:hAnsi="Times New Roman" w:cs="Times New Roman"/>
      <w:b/>
      <w:bCs/>
      <w:color w:val="000080"/>
      <w:kern w:val="2"/>
      <w:sz w:val="28"/>
      <w:szCs w:val="28"/>
    </w:rPr>
  </w:style>
  <w:style w:type="paragraph" w:styleId="16">
    <w:name w:val="Document Map"/>
    <w:basedOn w:val="1"/>
    <w:link w:val="61"/>
    <w:qFormat/>
    <w:uiPriority w:val="99"/>
    <w:pPr>
      <w:widowControl w:val="0"/>
      <w:jc w:val="both"/>
    </w:pPr>
    <w:rPr>
      <w:rFonts w:hAnsi="Times New Roman" w:cs="Times New Roman"/>
      <w:sz w:val="18"/>
      <w:szCs w:val="18"/>
      <w:lang w:val="zh-CN"/>
    </w:rPr>
  </w:style>
  <w:style w:type="paragraph" w:styleId="17">
    <w:name w:val="annotation text"/>
    <w:basedOn w:val="1"/>
    <w:link w:val="62"/>
    <w:qFormat/>
    <w:uiPriority w:val="0"/>
    <w:pPr>
      <w:widowControl w:val="0"/>
    </w:pPr>
    <w:rPr>
      <w:rFonts w:ascii="Calibri" w:hAnsi="Calibri" w:cs="Times New Roman"/>
      <w:sz w:val="18"/>
      <w:szCs w:val="18"/>
      <w:lang w:val="zh-CN"/>
    </w:rPr>
  </w:style>
  <w:style w:type="paragraph" w:styleId="18">
    <w:name w:val="Body Text"/>
    <w:basedOn w:val="1"/>
    <w:link w:val="63"/>
    <w:qFormat/>
    <w:uiPriority w:val="1"/>
    <w:pPr>
      <w:widowControl w:val="0"/>
      <w:spacing w:after="120"/>
      <w:jc w:val="both"/>
    </w:pPr>
    <w:rPr>
      <w:rFonts w:ascii="Times New Roman" w:hAnsi="Times New Roman" w:cs="Times New Roman"/>
      <w:sz w:val="20"/>
      <w:szCs w:val="21"/>
      <w:lang w:val="zh-CN"/>
    </w:rPr>
  </w:style>
  <w:style w:type="paragraph" w:styleId="19">
    <w:name w:val="Body Text Indent"/>
    <w:basedOn w:val="1"/>
    <w:link w:val="64"/>
    <w:qFormat/>
    <w:uiPriority w:val="99"/>
    <w:pPr>
      <w:widowControl w:val="0"/>
      <w:ind w:firstLine="630"/>
      <w:jc w:val="both"/>
    </w:pPr>
    <w:rPr>
      <w:rFonts w:ascii="Times New Roman" w:hAnsi="Times New Roman" w:cs="Times New Roman"/>
      <w:sz w:val="32"/>
      <w:szCs w:val="32"/>
      <w:lang w:val="zh-CN"/>
    </w:rPr>
  </w:style>
  <w:style w:type="paragraph" w:styleId="20">
    <w:name w:val="index 4"/>
    <w:basedOn w:val="1"/>
    <w:next w:val="1"/>
    <w:qFormat/>
    <w:uiPriority w:val="99"/>
    <w:pPr>
      <w:widowControl w:val="0"/>
      <w:ind w:left="600" w:leftChars="600"/>
      <w:jc w:val="both"/>
    </w:pPr>
    <w:rPr>
      <w:rFonts w:ascii="Times New Roman" w:hAnsi="Times New Roman" w:cs="Times New Roman"/>
      <w:kern w:val="2"/>
      <w:sz w:val="21"/>
      <w:szCs w:val="21"/>
    </w:rPr>
  </w:style>
  <w:style w:type="paragraph" w:styleId="21">
    <w:name w:val="toc 5"/>
    <w:basedOn w:val="1"/>
    <w:next w:val="1"/>
    <w:qFormat/>
    <w:uiPriority w:val="99"/>
    <w:pPr>
      <w:widowControl w:val="0"/>
      <w:tabs>
        <w:tab w:val="right" w:leader="dot" w:pos="8296"/>
      </w:tabs>
      <w:ind w:left="1050" w:leftChars="500"/>
      <w:jc w:val="both"/>
    </w:pPr>
    <w:rPr>
      <w:rFonts w:ascii="Calibri" w:hAnsi="Calibri" w:cs="Calibri"/>
      <w:kern w:val="2"/>
      <w:sz w:val="21"/>
      <w:szCs w:val="21"/>
    </w:rPr>
  </w:style>
  <w:style w:type="paragraph" w:styleId="22">
    <w:name w:val="toc 3"/>
    <w:basedOn w:val="1"/>
    <w:next w:val="1"/>
    <w:qFormat/>
    <w:uiPriority w:val="99"/>
    <w:pPr>
      <w:widowControl w:val="0"/>
      <w:ind w:left="840" w:leftChars="400"/>
      <w:jc w:val="both"/>
    </w:pPr>
    <w:rPr>
      <w:rFonts w:ascii="Times New Roman" w:hAnsi="Times New Roman" w:cs="Times New Roman"/>
      <w:kern w:val="2"/>
      <w:sz w:val="21"/>
      <w:szCs w:val="21"/>
    </w:rPr>
  </w:style>
  <w:style w:type="paragraph" w:styleId="23">
    <w:name w:val="Plain Text"/>
    <w:basedOn w:val="1"/>
    <w:link w:val="65"/>
    <w:qFormat/>
    <w:uiPriority w:val="99"/>
    <w:pPr>
      <w:widowControl w:val="0"/>
      <w:autoSpaceDE w:val="0"/>
      <w:autoSpaceDN w:val="0"/>
      <w:adjustRightInd w:val="0"/>
      <w:jc w:val="both"/>
    </w:pPr>
    <w:rPr>
      <w:rFonts w:hAnsi="Tms Rmn" w:cs="Times New Roman"/>
      <w:sz w:val="20"/>
      <w:szCs w:val="21"/>
      <w:lang w:val="zh-CN"/>
    </w:rPr>
  </w:style>
  <w:style w:type="paragraph" w:styleId="24">
    <w:name w:val="toc 8"/>
    <w:basedOn w:val="1"/>
    <w:next w:val="1"/>
    <w:qFormat/>
    <w:uiPriority w:val="99"/>
    <w:pPr>
      <w:widowControl w:val="0"/>
      <w:ind w:left="2940" w:leftChars="1400"/>
      <w:jc w:val="both"/>
    </w:pPr>
    <w:rPr>
      <w:rFonts w:ascii="Calibri" w:hAnsi="Calibri" w:cs="Calibri"/>
      <w:kern w:val="2"/>
      <w:sz w:val="21"/>
      <w:szCs w:val="21"/>
    </w:rPr>
  </w:style>
  <w:style w:type="paragraph" w:styleId="25">
    <w:name w:val="Date"/>
    <w:basedOn w:val="1"/>
    <w:next w:val="1"/>
    <w:link w:val="66"/>
    <w:qFormat/>
    <w:uiPriority w:val="99"/>
    <w:pPr>
      <w:widowControl w:val="0"/>
      <w:jc w:val="both"/>
    </w:pPr>
    <w:rPr>
      <w:rFonts w:ascii="Times New Roman" w:hAnsi="Times New Roman" w:cs="Times New Roman"/>
      <w:sz w:val="20"/>
      <w:szCs w:val="21"/>
      <w:lang w:val="zh-CN"/>
    </w:rPr>
  </w:style>
  <w:style w:type="paragraph" w:styleId="26">
    <w:name w:val="Body Text Indent 2"/>
    <w:basedOn w:val="1"/>
    <w:link w:val="67"/>
    <w:qFormat/>
    <w:uiPriority w:val="99"/>
    <w:pPr>
      <w:widowControl w:val="0"/>
      <w:spacing w:after="120" w:line="480" w:lineRule="auto"/>
      <w:ind w:left="420" w:leftChars="200"/>
      <w:jc w:val="both"/>
    </w:pPr>
    <w:rPr>
      <w:rFonts w:ascii="Times New Roman" w:hAnsi="Times New Roman" w:cs="Times New Roman"/>
      <w:sz w:val="20"/>
      <w:szCs w:val="21"/>
      <w:lang w:val="zh-CN"/>
    </w:rPr>
  </w:style>
  <w:style w:type="paragraph" w:styleId="27">
    <w:name w:val="Balloon Text"/>
    <w:basedOn w:val="1"/>
    <w:link w:val="68"/>
    <w:qFormat/>
    <w:uiPriority w:val="99"/>
    <w:pPr>
      <w:widowControl w:val="0"/>
      <w:jc w:val="both"/>
    </w:pPr>
    <w:rPr>
      <w:rFonts w:ascii="Times New Roman" w:hAnsi="Times New Roman" w:cs="Times New Roman"/>
      <w:sz w:val="18"/>
      <w:szCs w:val="18"/>
      <w:lang w:val="zh-CN"/>
    </w:rPr>
  </w:style>
  <w:style w:type="paragraph" w:styleId="28">
    <w:name w:val="footer"/>
    <w:basedOn w:val="1"/>
    <w:link w:val="69"/>
    <w:qFormat/>
    <w:uiPriority w:val="0"/>
    <w:pPr>
      <w:widowControl w:val="0"/>
      <w:tabs>
        <w:tab w:val="center" w:pos="4153"/>
        <w:tab w:val="right" w:pos="8306"/>
      </w:tabs>
      <w:snapToGrid w:val="0"/>
    </w:pPr>
    <w:rPr>
      <w:rFonts w:ascii="Times New Roman" w:hAnsi="Times New Roman" w:cs="Times New Roman"/>
      <w:sz w:val="18"/>
      <w:szCs w:val="18"/>
      <w:lang w:val="zh-CN"/>
    </w:rPr>
  </w:style>
  <w:style w:type="paragraph" w:styleId="29">
    <w:name w:val="header"/>
    <w:basedOn w:val="1"/>
    <w:link w:val="70"/>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30">
    <w:name w:val="toc 1"/>
    <w:basedOn w:val="1"/>
    <w:next w:val="1"/>
    <w:qFormat/>
    <w:uiPriority w:val="39"/>
    <w:pPr>
      <w:widowControl w:val="0"/>
      <w:spacing w:line="480" w:lineRule="auto"/>
      <w:jc w:val="both"/>
    </w:pPr>
    <w:rPr>
      <w:rFonts w:ascii="Times New Roman" w:hAnsi="Times New Roman" w:cs="Times New Roman"/>
      <w:kern w:val="2"/>
    </w:rPr>
  </w:style>
  <w:style w:type="paragraph" w:styleId="31">
    <w:name w:val="toc 4"/>
    <w:basedOn w:val="1"/>
    <w:next w:val="1"/>
    <w:qFormat/>
    <w:uiPriority w:val="99"/>
    <w:pPr>
      <w:widowControl w:val="0"/>
      <w:tabs>
        <w:tab w:val="left" w:pos="1890"/>
        <w:tab w:val="right" w:leader="dot" w:pos="8296"/>
      </w:tabs>
      <w:ind w:left="630" w:leftChars="300"/>
      <w:jc w:val="both"/>
    </w:pPr>
    <w:rPr>
      <w:rFonts w:ascii="Calibri" w:hAnsi="Calibri" w:cs="Calibri"/>
      <w:kern w:val="2"/>
      <w:sz w:val="21"/>
      <w:szCs w:val="21"/>
    </w:rPr>
  </w:style>
  <w:style w:type="paragraph" w:styleId="32">
    <w:name w:val="Subtitle"/>
    <w:basedOn w:val="1"/>
    <w:next w:val="1"/>
    <w:link w:val="71"/>
    <w:qFormat/>
    <w:uiPriority w:val="99"/>
    <w:pPr>
      <w:widowControl w:val="0"/>
      <w:spacing w:before="240" w:after="60" w:line="312" w:lineRule="auto"/>
      <w:jc w:val="center"/>
      <w:outlineLvl w:val="1"/>
    </w:pPr>
    <w:rPr>
      <w:rFonts w:ascii="Cambria" w:hAnsi="Cambria" w:cs="Times New Roman"/>
      <w:b/>
      <w:bCs/>
      <w:kern w:val="28"/>
      <w:sz w:val="32"/>
      <w:szCs w:val="32"/>
      <w:lang w:val="zh-CN"/>
    </w:rPr>
  </w:style>
  <w:style w:type="paragraph" w:styleId="33">
    <w:name w:val="toc 6"/>
    <w:basedOn w:val="1"/>
    <w:next w:val="1"/>
    <w:qFormat/>
    <w:uiPriority w:val="99"/>
    <w:pPr>
      <w:widowControl w:val="0"/>
      <w:ind w:left="2100" w:leftChars="1000"/>
      <w:jc w:val="both"/>
    </w:pPr>
    <w:rPr>
      <w:rFonts w:ascii="Calibri" w:hAnsi="Calibri" w:cs="Calibri"/>
      <w:kern w:val="2"/>
      <w:sz w:val="21"/>
      <w:szCs w:val="21"/>
    </w:rPr>
  </w:style>
  <w:style w:type="paragraph" w:styleId="34">
    <w:name w:val="Body Text Indent 3"/>
    <w:basedOn w:val="1"/>
    <w:link w:val="72"/>
    <w:qFormat/>
    <w:uiPriority w:val="99"/>
    <w:pPr>
      <w:widowControl w:val="0"/>
      <w:spacing w:after="120"/>
      <w:ind w:left="420" w:leftChars="200"/>
      <w:jc w:val="both"/>
    </w:pPr>
    <w:rPr>
      <w:rFonts w:ascii="Times New Roman" w:hAnsi="Times New Roman" w:cs="Times New Roman"/>
      <w:sz w:val="16"/>
      <w:szCs w:val="16"/>
      <w:lang w:val="zh-CN"/>
    </w:rPr>
  </w:style>
  <w:style w:type="paragraph" w:styleId="35">
    <w:name w:val="index 7"/>
    <w:basedOn w:val="1"/>
    <w:next w:val="1"/>
    <w:qFormat/>
    <w:uiPriority w:val="99"/>
    <w:pPr>
      <w:widowControl w:val="0"/>
      <w:ind w:left="1200" w:leftChars="1200"/>
      <w:jc w:val="both"/>
    </w:pPr>
    <w:rPr>
      <w:rFonts w:ascii="Times New Roman" w:hAnsi="Times New Roman" w:cs="Times New Roman"/>
      <w:kern w:val="2"/>
      <w:sz w:val="21"/>
      <w:szCs w:val="21"/>
    </w:rPr>
  </w:style>
  <w:style w:type="paragraph" w:styleId="36">
    <w:name w:val="toc 2"/>
    <w:basedOn w:val="1"/>
    <w:next w:val="1"/>
    <w:qFormat/>
    <w:uiPriority w:val="99"/>
    <w:pPr>
      <w:widowControl w:val="0"/>
      <w:ind w:left="420" w:leftChars="200"/>
      <w:jc w:val="both"/>
    </w:pPr>
    <w:rPr>
      <w:rFonts w:ascii="Times New Roman" w:hAnsi="Times New Roman" w:cs="Times New Roman"/>
      <w:kern w:val="2"/>
      <w:sz w:val="21"/>
      <w:szCs w:val="21"/>
    </w:rPr>
  </w:style>
  <w:style w:type="paragraph" w:styleId="37">
    <w:name w:val="toc 9"/>
    <w:basedOn w:val="1"/>
    <w:next w:val="1"/>
    <w:qFormat/>
    <w:uiPriority w:val="99"/>
    <w:pPr>
      <w:widowControl w:val="0"/>
      <w:ind w:left="3360" w:leftChars="1600"/>
      <w:jc w:val="both"/>
    </w:pPr>
    <w:rPr>
      <w:rFonts w:ascii="Calibri" w:hAnsi="Calibri" w:cs="Calibri"/>
      <w:kern w:val="2"/>
      <w:sz w:val="21"/>
      <w:szCs w:val="21"/>
    </w:rPr>
  </w:style>
  <w:style w:type="paragraph" w:styleId="38">
    <w:name w:val="HTML Preformatted"/>
    <w:basedOn w:val="1"/>
    <w:link w:val="7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szCs w:val="20"/>
      <w:lang w:val="zh-CN"/>
    </w:rPr>
  </w:style>
  <w:style w:type="paragraph" w:styleId="39">
    <w:name w:val="Normal (Web)"/>
    <w:basedOn w:val="1"/>
    <w:qFormat/>
    <w:uiPriority w:val="99"/>
    <w:pPr>
      <w:spacing w:before="100" w:beforeAutospacing="1" w:after="100" w:afterAutospacing="1"/>
    </w:pPr>
    <w:rPr>
      <w:sz w:val="18"/>
      <w:szCs w:val="18"/>
    </w:rPr>
  </w:style>
  <w:style w:type="paragraph" w:styleId="40">
    <w:name w:val="Title"/>
    <w:basedOn w:val="1"/>
    <w:next w:val="1"/>
    <w:link w:val="74"/>
    <w:qFormat/>
    <w:uiPriority w:val="99"/>
    <w:pPr>
      <w:widowControl w:val="0"/>
      <w:spacing w:before="240" w:after="60"/>
      <w:jc w:val="center"/>
      <w:outlineLvl w:val="0"/>
    </w:pPr>
    <w:rPr>
      <w:rFonts w:ascii="Cambria" w:hAnsi="Cambria" w:cs="Times New Roman"/>
      <w:b/>
      <w:bCs/>
      <w:sz w:val="32"/>
      <w:szCs w:val="32"/>
      <w:lang w:val="zh-CN"/>
    </w:rPr>
  </w:style>
  <w:style w:type="paragraph" w:styleId="41">
    <w:name w:val="annotation subject"/>
    <w:basedOn w:val="17"/>
    <w:next w:val="17"/>
    <w:link w:val="75"/>
    <w:qFormat/>
    <w:uiPriority w:val="99"/>
    <w:rPr>
      <w:b/>
      <w:bCs/>
      <w:szCs w:val="21"/>
    </w:rPr>
  </w:style>
  <w:style w:type="paragraph" w:styleId="42">
    <w:name w:val="Body Text First Indent"/>
    <w:basedOn w:val="18"/>
    <w:link w:val="178"/>
    <w:qFormat/>
    <w:uiPriority w:val="0"/>
    <w:pPr>
      <w:autoSpaceDE w:val="0"/>
      <w:autoSpaceDN w:val="0"/>
      <w:ind w:firstLine="420" w:firstLineChars="100"/>
      <w:jc w:val="left"/>
    </w:pPr>
    <w:rPr>
      <w:rFonts w:ascii="Noto Sans CJK JP Black" w:hAnsi="Noto Sans CJK JP Black" w:eastAsia="Noto Sans CJK JP Black" w:cs="Noto Sans CJK JP Black"/>
      <w:sz w:val="22"/>
      <w:szCs w:val="22"/>
      <w:lang w:val="en-U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99"/>
    <w:rPr>
      <w:b/>
      <w:bCs/>
    </w:rPr>
  </w:style>
  <w:style w:type="character" w:styleId="47">
    <w:name w:val="page number"/>
    <w:qFormat/>
    <w:uiPriority w:val="0"/>
  </w:style>
  <w:style w:type="character" w:styleId="48">
    <w:name w:val="Emphasis"/>
    <w:qFormat/>
    <w:uiPriority w:val="99"/>
    <w:rPr>
      <w:i/>
      <w:iCs/>
    </w:rPr>
  </w:style>
  <w:style w:type="character" w:styleId="49">
    <w:name w:val="Hyperlink"/>
    <w:qFormat/>
    <w:uiPriority w:val="99"/>
    <w:rPr>
      <w:color w:val="0000FF"/>
      <w:u w:val="single"/>
    </w:rPr>
  </w:style>
  <w:style w:type="character" w:styleId="50">
    <w:name w:val="annotation reference"/>
    <w:qFormat/>
    <w:uiPriority w:val="99"/>
    <w:rPr>
      <w:sz w:val="21"/>
      <w:szCs w:val="21"/>
    </w:rPr>
  </w:style>
  <w:style w:type="character" w:customStyle="1" w:styleId="51">
    <w:name w:val="标题 1 字符"/>
    <w:link w:val="3"/>
    <w:qFormat/>
    <w:uiPriority w:val="99"/>
    <w:rPr>
      <w:rFonts w:ascii="Times New Roman" w:hAnsi="Times New Roman" w:eastAsia="宋体" w:cs="Times New Roman"/>
      <w:b/>
      <w:bCs/>
      <w:kern w:val="44"/>
      <w:sz w:val="44"/>
      <w:szCs w:val="44"/>
    </w:rPr>
  </w:style>
  <w:style w:type="character" w:customStyle="1" w:styleId="52">
    <w:name w:val="标题 2 字符"/>
    <w:link w:val="4"/>
    <w:qFormat/>
    <w:uiPriority w:val="0"/>
    <w:rPr>
      <w:rFonts w:ascii="Arial" w:hAnsi="Arial" w:eastAsia="黑体"/>
      <w:b/>
      <w:bCs/>
      <w:sz w:val="28"/>
      <w:szCs w:val="32"/>
      <w:lang w:val="zh-CN"/>
    </w:rPr>
  </w:style>
  <w:style w:type="character" w:customStyle="1" w:styleId="53">
    <w:name w:val="标题 3 字符"/>
    <w:link w:val="5"/>
    <w:qFormat/>
    <w:uiPriority w:val="99"/>
    <w:rPr>
      <w:b/>
      <w:bCs/>
      <w:sz w:val="24"/>
      <w:szCs w:val="32"/>
      <w:lang w:val="zh-CN"/>
    </w:rPr>
  </w:style>
  <w:style w:type="character" w:customStyle="1" w:styleId="54">
    <w:name w:val="标题 4 字符"/>
    <w:link w:val="6"/>
    <w:qFormat/>
    <w:uiPriority w:val="99"/>
    <w:rPr>
      <w:rFonts w:ascii="Arial" w:hAnsi="Arial" w:eastAsia="黑体" w:cs="Arial"/>
      <w:b/>
      <w:bCs/>
      <w:sz w:val="28"/>
      <w:szCs w:val="28"/>
    </w:rPr>
  </w:style>
  <w:style w:type="character" w:customStyle="1" w:styleId="55">
    <w:name w:val="标题 5 字符"/>
    <w:link w:val="7"/>
    <w:qFormat/>
    <w:uiPriority w:val="99"/>
    <w:rPr>
      <w:rFonts w:ascii="Times New Roman" w:hAnsi="Times New Roman" w:eastAsia="宋体" w:cs="Times New Roman"/>
      <w:b/>
      <w:bCs/>
      <w:sz w:val="28"/>
      <w:szCs w:val="28"/>
    </w:rPr>
  </w:style>
  <w:style w:type="character" w:customStyle="1" w:styleId="56">
    <w:name w:val="标题 6 字符"/>
    <w:link w:val="8"/>
    <w:qFormat/>
    <w:uiPriority w:val="99"/>
    <w:rPr>
      <w:rFonts w:ascii="Cambria" w:hAnsi="Cambria" w:eastAsia="宋体" w:cs="Cambria"/>
      <w:b/>
      <w:bCs/>
      <w:sz w:val="24"/>
    </w:rPr>
  </w:style>
  <w:style w:type="character" w:customStyle="1" w:styleId="57">
    <w:name w:val="标题 7 字符"/>
    <w:link w:val="9"/>
    <w:qFormat/>
    <w:uiPriority w:val="99"/>
    <w:rPr>
      <w:rFonts w:ascii="Calibri" w:hAnsi="Calibri" w:eastAsia="宋体" w:cs="Calibri"/>
      <w:b/>
      <w:bCs/>
      <w:sz w:val="24"/>
    </w:rPr>
  </w:style>
  <w:style w:type="character" w:customStyle="1" w:styleId="58">
    <w:name w:val="标题 8 字符"/>
    <w:link w:val="10"/>
    <w:qFormat/>
    <w:uiPriority w:val="99"/>
    <w:rPr>
      <w:rFonts w:ascii="Cambria" w:hAnsi="Cambria" w:eastAsia="宋体" w:cs="Cambria"/>
      <w:sz w:val="24"/>
    </w:rPr>
  </w:style>
  <w:style w:type="character" w:customStyle="1" w:styleId="59">
    <w:name w:val="标题 9 字符"/>
    <w:link w:val="11"/>
    <w:qFormat/>
    <w:uiPriority w:val="99"/>
    <w:rPr>
      <w:rFonts w:ascii="Cambria" w:hAnsi="Cambria" w:eastAsia="宋体" w:cs="Cambria"/>
      <w:szCs w:val="21"/>
    </w:rPr>
  </w:style>
  <w:style w:type="character" w:customStyle="1" w:styleId="60">
    <w:name w:val="正文缩进 字符"/>
    <w:link w:val="14"/>
    <w:qFormat/>
    <w:uiPriority w:val="0"/>
    <w:rPr>
      <w:rFonts w:ascii="Times New Roman" w:hAnsi="Times New Roman" w:eastAsia="宋体" w:cs="Times New Roman"/>
      <w:kern w:val="0"/>
      <w:sz w:val="24"/>
    </w:rPr>
  </w:style>
  <w:style w:type="character" w:customStyle="1" w:styleId="61">
    <w:name w:val="文档结构图 字符"/>
    <w:link w:val="16"/>
    <w:qFormat/>
    <w:uiPriority w:val="99"/>
    <w:rPr>
      <w:rFonts w:ascii="宋体" w:hAnsi="Times New Roman" w:eastAsia="宋体" w:cs="宋体"/>
      <w:sz w:val="18"/>
      <w:szCs w:val="18"/>
    </w:rPr>
  </w:style>
  <w:style w:type="character" w:customStyle="1" w:styleId="62">
    <w:name w:val="批注文字 字符"/>
    <w:link w:val="17"/>
    <w:qFormat/>
    <w:uiPriority w:val="0"/>
    <w:rPr>
      <w:rFonts w:ascii="Calibri" w:hAnsi="Calibri" w:eastAsia="宋体" w:cs="Calibri"/>
      <w:sz w:val="18"/>
      <w:szCs w:val="18"/>
    </w:rPr>
  </w:style>
  <w:style w:type="character" w:customStyle="1" w:styleId="63">
    <w:name w:val="正文文本 字符"/>
    <w:link w:val="18"/>
    <w:qFormat/>
    <w:uiPriority w:val="1"/>
    <w:rPr>
      <w:rFonts w:ascii="Times New Roman" w:hAnsi="Times New Roman" w:eastAsia="宋体" w:cs="Times New Roman"/>
      <w:szCs w:val="21"/>
    </w:rPr>
  </w:style>
  <w:style w:type="character" w:customStyle="1" w:styleId="64">
    <w:name w:val="正文文本缩进 字符"/>
    <w:link w:val="19"/>
    <w:qFormat/>
    <w:uiPriority w:val="99"/>
    <w:rPr>
      <w:rFonts w:ascii="Times New Roman" w:hAnsi="Times New Roman" w:eastAsia="宋体" w:cs="Times New Roman"/>
      <w:sz w:val="32"/>
      <w:szCs w:val="32"/>
    </w:rPr>
  </w:style>
  <w:style w:type="character" w:customStyle="1" w:styleId="65">
    <w:name w:val="纯文本 字符"/>
    <w:link w:val="23"/>
    <w:qFormat/>
    <w:uiPriority w:val="99"/>
    <w:rPr>
      <w:rFonts w:ascii="宋体" w:hAnsi="Tms Rmn" w:eastAsia="宋体" w:cs="宋体"/>
      <w:szCs w:val="21"/>
    </w:rPr>
  </w:style>
  <w:style w:type="character" w:customStyle="1" w:styleId="66">
    <w:name w:val="日期 字符"/>
    <w:link w:val="25"/>
    <w:qFormat/>
    <w:uiPriority w:val="99"/>
    <w:rPr>
      <w:rFonts w:ascii="Times New Roman" w:hAnsi="Times New Roman" w:eastAsia="宋体" w:cs="Times New Roman"/>
      <w:szCs w:val="21"/>
    </w:rPr>
  </w:style>
  <w:style w:type="character" w:customStyle="1" w:styleId="67">
    <w:name w:val="正文文本缩进 2 字符"/>
    <w:link w:val="26"/>
    <w:qFormat/>
    <w:uiPriority w:val="99"/>
    <w:rPr>
      <w:rFonts w:ascii="Times New Roman" w:hAnsi="Times New Roman" w:eastAsia="宋体" w:cs="Times New Roman"/>
      <w:szCs w:val="21"/>
    </w:rPr>
  </w:style>
  <w:style w:type="character" w:customStyle="1" w:styleId="68">
    <w:name w:val="批注框文本 字符"/>
    <w:link w:val="27"/>
    <w:qFormat/>
    <w:uiPriority w:val="99"/>
    <w:rPr>
      <w:rFonts w:ascii="Times New Roman" w:hAnsi="Times New Roman" w:eastAsia="宋体" w:cs="Times New Roman"/>
      <w:sz w:val="18"/>
      <w:szCs w:val="18"/>
    </w:rPr>
  </w:style>
  <w:style w:type="character" w:customStyle="1" w:styleId="69">
    <w:name w:val="页脚 字符"/>
    <w:link w:val="28"/>
    <w:qFormat/>
    <w:uiPriority w:val="0"/>
    <w:rPr>
      <w:rFonts w:ascii="Times New Roman" w:hAnsi="Times New Roman" w:eastAsia="宋体" w:cs="Times New Roman"/>
      <w:sz w:val="18"/>
      <w:szCs w:val="18"/>
    </w:rPr>
  </w:style>
  <w:style w:type="character" w:customStyle="1" w:styleId="70">
    <w:name w:val="页眉 字符"/>
    <w:link w:val="29"/>
    <w:qFormat/>
    <w:uiPriority w:val="0"/>
    <w:rPr>
      <w:rFonts w:ascii="Times New Roman" w:hAnsi="Times New Roman" w:eastAsia="宋体" w:cs="Times New Roman"/>
      <w:sz w:val="18"/>
      <w:szCs w:val="18"/>
    </w:rPr>
  </w:style>
  <w:style w:type="character" w:customStyle="1" w:styleId="71">
    <w:name w:val="副标题 字符"/>
    <w:link w:val="32"/>
    <w:qFormat/>
    <w:uiPriority w:val="99"/>
    <w:rPr>
      <w:rFonts w:ascii="Cambria" w:hAnsi="Cambria" w:eastAsia="宋体" w:cs="Cambria"/>
      <w:b/>
      <w:bCs/>
      <w:kern w:val="28"/>
      <w:sz w:val="32"/>
      <w:szCs w:val="32"/>
    </w:rPr>
  </w:style>
  <w:style w:type="character" w:customStyle="1" w:styleId="72">
    <w:name w:val="正文文本缩进 3 字符"/>
    <w:link w:val="34"/>
    <w:qFormat/>
    <w:uiPriority w:val="99"/>
    <w:rPr>
      <w:rFonts w:ascii="Times New Roman" w:hAnsi="Times New Roman" w:eastAsia="宋体" w:cs="Times New Roman"/>
      <w:sz w:val="16"/>
      <w:szCs w:val="16"/>
    </w:rPr>
  </w:style>
  <w:style w:type="character" w:customStyle="1" w:styleId="73">
    <w:name w:val="HTML 预设格式 字符"/>
    <w:link w:val="38"/>
    <w:qFormat/>
    <w:uiPriority w:val="99"/>
    <w:rPr>
      <w:rFonts w:ascii="宋体" w:hAnsi="宋体" w:eastAsia="宋体" w:cs="宋体"/>
      <w:kern w:val="0"/>
      <w:sz w:val="24"/>
    </w:rPr>
  </w:style>
  <w:style w:type="character" w:customStyle="1" w:styleId="74">
    <w:name w:val="标题 字符"/>
    <w:link w:val="40"/>
    <w:qFormat/>
    <w:uiPriority w:val="99"/>
    <w:rPr>
      <w:rFonts w:ascii="Cambria" w:hAnsi="Cambria" w:eastAsia="宋体" w:cs="Cambria"/>
      <w:b/>
      <w:bCs/>
      <w:sz w:val="32"/>
      <w:szCs w:val="32"/>
    </w:rPr>
  </w:style>
  <w:style w:type="character" w:customStyle="1" w:styleId="75">
    <w:name w:val="批注主题 字符"/>
    <w:link w:val="41"/>
    <w:qFormat/>
    <w:uiPriority w:val="99"/>
    <w:rPr>
      <w:rFonts w:ascii="Calibri" w:hAnsi="Calibri" w:eastAsia="宋体" w:cs="Calibri"/>
      <w:b/>
      <w:bCs/>
      <w:sz w:val="18"/>
      <w:szCs w:val="21"/>
    </w:rPr>
  </w:style>
  <w:style w:type="character" w:customStyle="1" w:styleId="76">
    <w:name w:val="批注主题 Char2"/>
    <w:qFormat/>
    <w:uiPriority w:val="99"/>
    <w:rPr>
      <w:b/>
      <w:bCs/>
      <w:kern w:val="2"/>
      <w:sz w:val="22"/>
      <w:szCs w:val="22"/>
    </w:rPr>
  </w:style>
  <w:style w:type="character" w:customStyle="1" w:styleId="77">
    <w:name w:val="正文文本缩进 Char1"/>
    <w:qFormat/>
    <w:uiPriority w:val="99"/>
    <w:rPr>
      <w:kern w:val="2"/>
      <w:sz w:val="21"/>
      <w:szCs w:val="21"/>
    </w:rPr>
  </w:style>
  <w:style w:type="character" w:customStyle="1" w:styleId="78">
    <w:name w:val="纯文本 Char"/>
    <w:qFormat/>
    <w:uiPriority w:val="99"/>
    <w:rPr>
      <w:rFonts w:ascii="宋体" w:hAnsi="Tms Rmn" w:eastAsia="宋体" w:cs="宋体"/>
    </w:rPr>
  </w:style>
  <w:style w:type="character" w:customStyle="1" w:styleId="79">
    <w:name w:val="Intense Emphasis1"/>
    <w:qFormat/>
    <w:uiPriority w:val="99"/>
    <w:rPr>
      <w:b/>
      <w:bCs/>
      <w:i/>
      <w:iCs/>
      <w:color w:val="4F81BD"/>
    </w:rPr>
  </w:style>
  <w:style w:type="character" w:customStyle="1" w:styleId="80">
    <w:name w:val="Char Char Char"/>
    <w:link w:val="81"/>
    <w:qFormat/>
    <w:uiPriority w:val="99"/>
    <w:rPr>
      <w:rFonts w:ascii="Arial" w:hAnsi="Arial" w:eastAsia="黑体" w:cs="Arial"/>
      <w:b/>
      <w:bCs/>
      <w:sz w:val="32"/>
      <w:szCs w:val="32"/>
    </w:rPr>
  </w:style>
  <w:style w:type="paragraph" w:customStyle="1" w:styleId="81">
    <w:name w:val="Char"/>
    <w:basedOn w:val="1"/>
    <w:link w:val="80"/>
    <w:qFormat/>
    <w:uiPriority w:val="99"/>
    <w:pPr>
      <w:widowControl w:val="0"/>
      <w:jc w:val="both"/>
    </w:pPr>
    <w:rPr>
      <w:rFonts w:ascii="Arial" w:hAnsi="Arial" w:eastAsia="黑体" w:cs="Times New Roman"/>
      <w:b/>
      <w:bCs/>
      <w:sz w:val="32"/>
      <w:szCs w:val="32"/>
      <w:lang w:val="zh-CN"/>
    </w:rPr>
  </w:style>
  <w:style w:type="character" w:customStyle="1" w:styleId="82">
    <w:name w:val="明显引用 Char1"/>
    <w:qFormat/>
    <w:uiPriority w:val="99"/>
    <w:rPr>
      <w:rFonts w:ascii="Times New Roman" w:hAnsi="Times New Roman" w:eastAsia="宋体" w:cs="Times New Roman"/>
      <w:b/>
      <w:bCs/>
      <w:i/>
      <w:iCs/>
      <w:color w:val="4F81BD"/>
      <w:kern w:val="2"/>
      <w:sz w:val="24"/>
      <w:szCs w:val="24"/>
    </w:rPr>
  </w:style>
  <w:style w:type="character" w:customStyle="1" w:styleId="83">
    <w:name w:val="日期 Char2"/>
    <w:qFormat/>
    <w:uiPriority w:val="99"/>
    <w:rPr>
      <w:kern w:val="2"/>
      <w:sz w:val="22"/>
      <w:szCs w:val="22"/>
    </w:rPr>
  </w:style>
  <w:style w:type="character" w:customStyle="1" w:styleId="84">
    <w:name w:val="标题 Char1"/>
    <w:qFormat/>
    <w:uiPriority w:val="99"/>
    <w:rPr>
      <w:rFonts w:ascii="Cambria" w:hAnsi="Cambria" w:eastAsia="宋体" w:cs="Cambria"/>
      <w:b/>
      <w:bCs/>
      <w:kern w:val="2"/>
      <w:sz w:val="32"/>
      <w:szCs w:val="32"/>
    </w:rPr>
  </w:style>
  <w:style w:type="character" w:customStyle="1" w:styleId="85">
    <w:name w:val="Subtle Reference1"/>
    <w:qFormat/>
    <w:uiPriority w:val="99"/>
    <w:rPr>
      <w:smallCaps/>
      <w:color w:val="auto"/>
      <w:u w:val="single"/>
    </w:rPr>
  </w:style>
  <w:style w:type="character" w:customStyle="1" w:styleId="86">
    <w:name w:val="NormalCharacter"/>
    <w:qFormat/>
    <w:uiPriority w:val="0"/>
  </w:style>
  <w:style w:type="character" w:customStyle="1" w:styleId="87">
    <w:name w:val="正文文本 Char1"/>
    <w:qFormat/>
    <w:uiPriority w:val="99"/>
    <w:rPr>
      <w:kern w:val="2"/>
      <w:sz w:val="22"/>
      <w:szCs w:val="22"/>
    </w:rPr>
  </w:style>
  <w:style w:type="character" w:customStyle="1" w:styleId="88">
    <w:name w:val="Title Char_60c9e026-ae0b-4d0a-bcc0-b164eba92d84"/>
    <w:qFormat/>
    <w:uiPriority w:val="99"/>
    <w:rPr>
      <w:rFonts w:ascii="Cambria" w:hAnsi="Cambria" w:cs="Cambria"/>
      <w:b/>
      <w:bCs/>
      <w:kern w:val="2"/>
      <w:sz w:val="32"/>
      <w:szCs w:val="32"/>
    </w:rPr>
  </w:style>
  <w:style w:type="character" w:customStyle="1" w:styleId="89">
    <w:name w:val="content"/>
    <w:qFormat/>
    <w:uiPriority w:val="0"/>
  </w:style>
  <w:style w:type="character" w:customStyle="1" w:styleId="90">
    <w:name w:val="明显引用 Char"/>
    <w:link w:val="91"/>
    <w:qFormat/>
    <w:uiPriority w:val="99"/>
    <w:rPr>
      <w:rFonts w:ascii="Calibri" w:hAnsi="Calibri" w:eastAsia="宋体" w:cs="Calibri"/>
      <w:b/>
      <w:bCs/>
      <w:i/>
      <w:iCs/>
      <w:color w:val="4F81BD"/>
      <w:sz w:val="22"/>
      <w:szCs w:val="22"/>
    </w:rPr>
  </w:style>
  <w:style w:type="paragraph" w:customStyle="1" w:styleId="91">
    <w:name w:val="明显引用1"/>
    <w:basedOn w:val="1"/>
    <w:next w:val="1"/>
    <w:link w:val="90"/>
    <w:qFormat/>
    <w:uiPriority w:val="99"/>
    <w:pPr>
      <w:widowControl w:val="0"/>
      <w:pBdr>
        <w:bottom w:val="single" w:color="4F81BD" w:sz="4" w:space="4"/>
      </w:pBdr>
      <w:spacing w:before="200" w:after="280"/>
      <w:ind w:left="936" w:right="936"/>
      <w:jc w:val="both"/>
    </w:pPr>
    <w:rPr>
      <w:rFonts w:ascii="Calibri" w:hAnsi="Calibri" w:cs="Times New Roman"/>
      <w:b/>
      <w:bCs/>
      <w:i/>
      <w:iCs/>
      <w:color w:val="4F81BD"/>
      <w:sz w:val="22"/>
      <w:szCs w:val="22"/>
      <w:lang w:val="zh-CN"/>
    </w:rPr>
  </w:style>
  <w:style w:type="character" w:customStyle="1" w:styleId="92">
    <w:name w:val="文档结构图 Char2"/>
    <w:qFormat/>
    <w:uiPriority w:val="99"/>
    <w:rPr>
      <w:rFonts w:ascii="宋体" w:cs="宋体"/>
      <w:kern w:val="2"/>
      <w:sz w:val="18"/>
      <w:szCs w:val="18"/>
    </w:rPr>
  </w:style>
  <w:style w:type="character" w:customStyle="1" w:styleId="93">
    <w:name w:val="批注主题 Char1"/>
    <w:qFormat/>
    <w:uiPriority w:val="99"/>
    <w:rPr>
      <w:rFonts w:ascii="Times New Roman" w:hAnsi="Times New Roman" w:eastAsia="宋体" w:cs="Times New Roman"/>
      <w:b/>
      <w:bCs/>
      <w:kern w:val="2"/>
      <w:sz w:val="18"/>
      <w:szCs w:val="24"/>
    </w:rPr>
  </w:style>
  <w:style w:type="character" w:customStyle="1" w:styleId="94">
    <w:name w:val="Subtitle Char"/>
    <w:qFormat/>
    <w:uiPriority w:val="99"/>
    <w:rPr>
      <w:rFonts w:ascii="Cambria" w:hAnsi="Cambria" w:cs="Cambria"/>
      <w:b/>
      <w:bCs/>
      <w:kern w:val="28"/>
      <w:sz w:val="32"/>
      <w:szCs w:val="32"/>
    </w:rPr>
  </w:style>
  <w:style w:type="character" w:customStyle="1" w:styleId="95">
    <w:name w:val="textcontents"/>
    <w:qFormat/>
    <w:uiPriority w:val="99"/>
  </w:style>
  <w:style w:type="character" w:customStyle="1" w:styleId="96">
    <w:name w:val="正文文本 Char2"/>
    <w:qFormat/>
    <w:uiPriority w:val="99"/>
    <w:rPr>
      <w:kern w:val="2"/>
      <w:sz w:val="21"/>
      <w:szCs w:val="21"/>
    </w:rPr>
  </w:style>
  <w:style w:type="character" w:customStyle="1" w:styleId="97">
    <w:name w:val="页脚 Char1"/>
    <w:qFormat/>
    <w:uiPriority w:val="99"/>
    <w:rPr>
      <w:kern w:val="2"/>
      <w:sz w:val="18"/>
      <w:szCs w:val="18"/>
    </w:rPr>
  </w:style>
  <w:style w:type="character" w:customStyle="1" w:styleId="98">
    <w:name w:val="Intense Reference1"/>
    <w:qFormat/>
    <w:uiPriority w:val="99"/>
    <w:rPr>
      <w:b/>
      <w:bCs/>
      <w:smallCaps/>
      <w:color w:val="auto"/>
      <w:spacing w:val="5"/>
      <w:u w:val="single"/>
    </w:rPr>
  </w:style>
  <w:style w:type="character" w:customStyle="1" w:styleId="99">
    <w:name w:val="font31"/>
    <w:qFormat/>
    <w:uiPriority w:val="99"/>
    <w:rPr>
      <w:rFonts w:ascii="宋体" w:hAnsi="宋体" w:eastAsia="宋体" w:cs="宋体"/>
      <w:color w:val="000000"/>
      <w:sz w:val="21"/>
      <w:szCs w:val="21"/>
      <w:u w:val="none"/>
    </w:rPr>
  </w:style>
  <w:style w:type="character" w:customStyle="1" w:styleId="100">
    <w:name w:val="Intense Quote Char_704e32b9-21a2-472c-89c6-cfd251551577"/>
    <w:qFormat/>
    <w:uiPriority w:val="99"/>
    <w:rPr>
      <w:b/>
      <w:bCs/>
      <w:i/>
      <w:iCs/>
      <w:color w:val="4F81BD"/>
      <w:kern w:val="2"/>
      <w:sz w:val="22"/>
      <w:szCs w:val="22"/>
    </w:rPr>
  </w:style>
  <w:style w:type="character" w:customStyle="1" w:styleId="101">
    <w:name w:val="GW-正文 Char"/>
    <w:link w:val="102"/>
    <w:qFormat/>
    <w:uiPriority w:val="99"/>
    <w:rPr>
      <w:rFonts w:ascii="Times New Roman" w:hAnsi="Times New Roman" w:eastAsia="仿宋_GB2312" w:cs="Times New Roman"/>
      <w:kern w:val="0"/>
      <w:sz w:val="24"/>
    </w:rPr>
  </w:style>
  <w:style w:type="paragraph" w:customStyle="1" w:styleId="102">
    <w:name w:val="GW-正文"/>
    <w:basedOn w:val="1"/>
    <w:link w:val="101"/>
    <w:qFormat/>
    <w:uiPriority w:val="99"/>
    <w:pPr>
      <w:widowControl w:val="0"/>
      <w:spacing w:line="360" w:lineRule="auto"/>
      <w:ind w:firstLine="200" w:firstLineChars="200"/>
      <w:jc w:val="both"/>
    </w:pPr>
    <w:rPr>
      <w:rFonts w:ascii="Times New Roman" w:hAnsi="Times New Roman" w:eastAsia="仿宋_GB2312" w:cs="Times New Roman"/>
      <w:szCs w:val="20"/>
      <w:lang w:val="zh-CN"/>
    </w:rPr>
  </w:style>
  <w:style w:type="character" w:customStyle="1" w:styleId="103">
    <w:name w:val="批注框文本 Char2"/>
    <w:qFormat/>
    <w:uiPriority w:val="99"/>
    <w:rPr>
      <w:kern w:val="2"/>
      <w:sz w:val="18"/>
      <w:szCs w:val="18"/>
    </w:rPr>
  </w:style>
  <w:style w:type="character" w:customStyle="1" w:styleId="104">
    <w:name w:val="页眉 Char1"/>
    <w:qFormat/>
    <w:uiPriority w:val="99"/>
    <w:rPr>
      <w:kern w:val="2"/>
      <w:sz w:val="18"/>
      <w:szCs w:val="18"/>
    </w:rPr>
  </w:style>
  <w:style w:type="character" w:customStyle="1" w:styleId="105">
    <w:name w:val="批注文字 Char"/>
    <w:qFormat/>
    <w:uiPriority w:val="99"/>
    <w:rPr>
      <w:sz w:val="18"/>
      <w:szCs w:val="18"/>
    </w:rPr>
  </w:style>
  <w:style w:type="character" w:customStyle="1" w:styleId="106">
    <w:name w:val="日期 Char1"/>
    <w:qFormat/>
    <w:uiPriority w:val="99"/>
    <w:rPr>
      <w:kern w:val="2"/>
      <w:sz w:val="22"/>
      <w:szCs w:val="22"/>
    </w:rPr>
  </w:style>
  <w:style w:type="character" w:customStyle="1" w:styleId="107">
    <w:name w:val="Char Char3"/>
    <w:qFormat/>
    <w:uiPriority w:val="99"/>
    <w:rPr>
      <w:rFonts w:ascii="Arial" w:hAnsi="Arial" w:eastAsia="黑体" w:cs="Arial"/>
      <w:b/>
      <w:bCs/>
      <w:kern w:val="2"/>
      <w:sz w:val="32"/>
      <w:szCs w:val="32"/>
      <w:lang w:val="en-US" w:eastAsia="zh-CN"/>
    </w:rPr>
  </w:style>
  <w:style w:type="character" w:customStyle="1" w:styleId="108">
    <w:name w:val="标题4 Char Char"/>
    <w:link w:val="109"/>
    <w:qFormat/>
    <w:uiPriority w:val="99"/>
    <w:rPr>
      <w:rFonts w:ascii="Arial" w:hAnsi="Arial" w:cs="Arial"/>
      <w:b/>
      <w:bCs/>
      <w:sz w:val="32"/>
      <w:szCs w:val="32"/>
    </w:rPr>
  </w:style>
  <w:style w:type="paragraph" w:customStyle="1" w:styleId="109">
    <w:name w:val="标题4"/>
    <w:basedOn w:val="4"/>
    <w:next w:val="20"/>
    <w:link w:val="108"/>
    <w:qFormat/>
    <w:uiPriority w:val="99"/>
    <w:pPr>
      <w:spacing w:line="413" w:lineRule="auto"/>
    </w:pPr>
    <w:rPr>
      <w:rFonts w:eastAsia="宋体"/>
    </w:rPr>
  </w:style>
  <w:style w:type="character" w:customStyle="1" w:styleId="110">
    <w:name w:val="批注框文本 Char1"/>
    <w:qFormat/>
    <w:uiPriority w:val="99"/>
    <w:rPr>
      <w:kern w:val="2"/>
      <w:sz w:val="18"/>
      <w:szCs w:val="18"/>
    </w:rPr>
  </w:style>
  <w:style w:type="character" w:customStyle="1" w:styleId="111">
    <w:name w:val="引用 Char1"/>
    <w:qFormat/>
    <w:uiPriority w:val="99"/>
    <w:rPr>
      <w:rFonts w:ascii="Times New Roman" w:hAnsi="Times New Roman" w:eastAsia="宋体" w:cs="Times New Roman"/>
      <w:i/>
      <w:iCs/>
      <w:color w:val="000000"/>
      <w:kern w:val="2"/>
      <w:sz w:val="24"/>
      <w:szCs w:val="24"/>
    </w:rPr>
  </w:style>
  <w:style w:type="character" w:customStyle="1" w:styleId="112">
    <w:name w:val="Subtle Emphasis1"/>
    <w:qFormat/>
    <w:uiPriority w:val="99"/>
    <w:rPr>
      <w:i/>
      <w:iCs/>
      <w:color w:val="808080"/>
    </w:rPr>
  </w:style>
  <w:style w:type="character" w:customStyle="1" w:styleId="113">
    <w:name w:val="文档结构图 Char1"/>
    <w:qFormat/>
    <w:uiPriority w:val="99"/>
    <w:rPr>
      <w:rFonts w:ascii="宋体" w:cs="宋体"/>
      <w:kern w:val="2"/>
      <w:sz w:val="18"/>
      <w:szCs w:val="18"/>
    </w:rPr>
  </w:style>
  <w:style w:type="character" w:customStyle="1" w:styleId="114">
    <w:name w:val="副标题 Char1"/>
    <w:qFormat/>
    <w:uiPriority w:val="99"/>
    <w:rPr>
      <w:rFonts w:ascii="Cambria" w:hAnsi="Cambria" w:eastAsia="宋体" w:cs="Cambria"/>
      <w:b/>
      <w:bCs/>
      <w:kern w:val="28"/>
      <w:sz w:val="32"/>
      <w:szCs w:val="32"/>
    </w:rPr>
  </w:style>
  <w:style w:type="character" w:customStyle="1" w:styleId="115">
    <w:name w:val="Char Char9"/>
    <w:qFormat/>
    <w:uiPriority w:val="99"/>
    <w:rPr>
      <w:kern w:val="2"/>
      <w:sz w:val="21"/>
      <w:szCs w:val="21"/>
    </w:rPr>
  </w:style>
  <w:style w:type="character" w:customStyle="1" w:styleId="116">
    <w:name w:val="引用 Char"/>
    <w:link w:val="117"/>
    <w:qFormat/>
    <w:uiPriority w:val="99"/>
    <w:rPr>
      <w:rFonts w:ascii="Calibri" w:hAnsi="Calibri" w:eastAsia="宋体" w:cs="Calibri"/>
      <w:i/>
      <w:iCs/>
      <w:color w:val="000000"/>
      <w:sz w:val="22"/>
      <w:szCs w:val="22"/>
    </w:rPr>
  </w:style>
  <w:style w:type="paragraph" w:customStyle="1" w:styleId="117">
    <w:name w:val="引用1"/>
    <w:basedOn w:val="1"/>
    <w:next w:val="1"/>
    <w:link w:val="116"/>
    <w:qFormat/>
    <w:uiPriority w:val="99"/>
    <w:pPr>
      <w:widowControl w:val="0"/>
      <w:jc w:val="both"/>
    </w:pPr>
    <w:rPr>
      <w:rFonts w:ascii="Calibri" w:hAnsi="Calibri" w:cs="Times New Roman"/>
      <w:i/>
      <w:iCs/>
      <w:color w:val="000000"/>
      <w:sz w:val="22"/>
      <w:szCs w:val="22"/>
      <w:lang w:val="zh-CN"/>
    </w:rPr>
  </w:style>
  <w:style w:type="character" w:customStyle="1" w:styleId="118">
    <w:name w:val="Heading 2 Char_8651fb3b-7fd4-4065-830c-b187e310dfe3"/>
    <w:qFormat/>
    <w:uiPriority w:val="99"/>
    <w:rPr>
      <w:rFonts w:ascii="Cambria" w:hAnsi="Cambria" w:eastAsia="宋体" w:cs="Cambria"/>
      <w:b/>
      <w:bCs/>
      <w:sz w:val="32"/>
      <w:szCs w:val="32"/>
    </w:rPr>
  </w:style>
  <w:style w:type="character" w:customStyle="1" w:styleId="119">
    <w:name w:val="（符号）邀请函中一、"/>
    <w:qFormat/>
    <w:uiPriority w:val="99"/>
    <w:rPr>
      <w:rFonts w:ascii="黑体" w:hAnsi="黑体" w:eastAsia="黑体" w:cs="黑体"/>
      <w:b/>
      <w:bCs/>
      <w:sz w:val="24"/>
      <w:szCs w:val="24"/>
    </w:rPr>
  </w:style>
  <w:style w:type="character" w:customStyle="1" w:styleId="120">
    <w:name w:val="列出段落 Char"/>
    <w:link w:val="121"/>
    <w:qFormat/>
    <w:uiPriority w:val="99"/>
    <w:rPr>
      <w:rFonts w:ascii="Times New Roman" w:hAnsi="Times New Roman" w:eastAsia="宋体" w:cs="Times New Roman"/>
      <w:kern w:val="0"/>
      <w:sz w:val="24"/>
    </w:rPr>
  </w:style>
  <w:style w:type="paragraph" w:customStyle="1" w:styleId="121">
    <w:name w:val="列出段落1"/>
    <w:basedOn w:val="1"/>
    <w:link w:val="120"/>
    <w:qFormat/>
    <w:uiPriority w:val="99"/>
    <w:pPr>
      <w:widowControl w:val="0"/>
      <w:ind w:firstLine="420" w:firstLineChars="200"/>
      <w:jc w:val="both"/>
    </w:pPr>
    <w:rPr>
      <w:rFonts w:ascii="Times New Roman" w:hAnsi="Times New Roman" w:cs="Times New Roman"/>
      <w:szCs w:val="20"/>
      <w:lang w:val="zh-CN"/>
    </w:rPr>
  </w:style>
  <w:style w:type="character" w:customStyle="1" w:styleId="122">
    <w:name w:val="Book Title1"/>
    <w:qFormat/>
    <w:uiPriority w:val="99"/>
    <w:rPr>
      <w:b/>
      <w:bCs/>
      <w:smallCaps/>
      <w:spacing w:val="5"/>
    </w:rPr>
  </w:style>
  <w:style w:type="character" w:customStyle="1" w:styleId="123">
    <w:name w:val="正文缩进 Char1"/>
    <w:qFormat/>
    <w:uiPriority w:val="99"/>
    <w:rPr>
      <w:rFonts w:eastAsia="宋体"/>
      <w:kern w:val="2"/>
      <w:sz w:val="24"/>
      <w:szCs w:val="24"/>
      <w:lang w:val="en-US" w:eastAsia="zh-CN"/>
    </w:rPr>
  </w:style>
  <w:style w:type="character" w:customStyle="1" w:styleId="124">
    <w:name w:val="批注文字 Char Char"/>
    <w:qFormat/>
    <w:uiPriority w:val="99"/>
    <w:rPr>
      <w:rFonts w:ascii="宋体" w:hAnsi="Times New Roman" w:eastAsia="宋体" w:cs="宋体"/>
      <w:sz w:val="20"/>
      <w:szCs w:val="20"/>
    </w:rPr>
  </w:style>
  <w:style w:type="character" w:customStyle="1" w:styleId="125">
    <w:name w:val="无间距字符"/>
    <w:link w:val="126"/>
    <w:qFormat/>
    <w:uiPriority w:val="99"/>
    <w:rPr>
      <w:rFonts w:ascii="Calibri" w:hAnsi="Calibri" w:eastAsia="等线" w:cs="Calibri"/>
      <w:kern w:val="2"/>
      <w:sz w:val="22"/>
      <w:szCs w:val="22"/>
      <w:lang w:val="en-US" w:eastAsia="zh-CN" w:bidi="ar-SA"/>
    </w:rPr>
  </w:style>
  <w:style w:type="paragraph" w:customStyle="1" w:styleId="126">
    <w:name w:val="无间距"/>
    <w:link w:val="125"/>
    <w:qFormat/>
    <w:uiPriority w:val="99"/>
    <w:rPr>
      <w:rFonts w:ascii="Calibri" w:hAnsi="Calibri" w:eastAsia="等线" w:cs="Calibri"/>
      <w:kern w:val="2"/>
      <w:sz w:val="22"/>
      <w:szCs w:val="22"/>
      <w:lang w:val="en-US" w:eastAsia="zh-CN" w:bidi="ar-SA"/>
    </w:rPr>
  </w:style>
  <w:style w:type="character" w:customStyle="1" w:styleId="127">
    <w:name w:val="tdrownotice1"/>
    <w:qFormat/>
    <w:uiPriority w:val="99"/>
    <w:rPr>
      <w:sz w:val="22"/>
      <w:szCs w:val="22"/>
    </w:rPr>
  </w:style>
  <w:style w:type="character" w:customStyle="1" w:styleId="128">
    <w:name w:val="标题5 Char Char"/>
    <w:link w:val="129"/>
    <w:qFormat/>
    <w:uiPriority w:val="99"/>
    <w:rPr>
      <w:rFonts w:ascii="Arial" w:hAnsi="Arial" w:cs="Arial"/>
      <w:b/>
      <w:bCs/>
      <w:sz w:val="32"/>
      <w:szCs w:val="32"/>
    </w:rPr>
  </w:style>
  <w:style w:type="paragraph" w:customStyle="1" w:styleId="129">
    <w:name w:val="标题5"/>
    <w:basedOn w:val="5"/>
    <w:link w:val="128"/>
    <w:qFormat/>
    <w:uiPriority w:val="99"/>
    <w:pPr>
      <w:spacing w:line="413" w:lineRule="auto"/>
    </w:pPr>
    <w:rPr>
      <w:rFonts w:ascii="Arial" w:hAnsi="Arial"/>
    </w:rPr>
  </w:style>
  <w:style w:type="character" w:customStyle="1" w:styleId="130">
    <w:name w:val="Quote Char_1446f8f7-e84f-4317-a10a-a7ad62cc2602"/>
    <w:qFormat/>
    <w:uiPriority w:val="99"/>
    <w:rPr>
      <w:i/>
      <w:iCs/>
      <w:color w:val="000000"/>
      <w:kern w:val="2"/>
      <w:sz w:val="22"/>
      <w:szCs w:val="22"/>
    </w:rPr>
  </w:style>
  <w:style w:type="paragraph" w:customStyle="1" w:styleId="131">
    <w:name w:val="样式 首行缩进:  2 字符1"/>
    <w:basedOn w:val="1"/>
    <w:qFormat/>
    <w:uiPriority w:val="99"/>
    <w:pPr>
      <w:widowControl w:val="0"/>
      <w:spacing w:line="400" w:lineRule="exact"/>
      <w:ind w:firstLine="200" w:firstLineChars="200"/>
      <w:jc w:val="both"/>
    </w:pPr>
    <w:rPr>
      <w:rFonts w:ascii="Times New Roman" w:hAnsi="Times New Roman" w:cs="Times New Roman"/>
      <w:kern w:val="2"/>
    </w:rPr>
  </w:style>
  <w:style w:type="paragraph" w:customStyle="1" w:styleId="132">
    <w:name w:val="Heading #4|1"/>
    <w:basedOn w:val="1"/>
    <w:qFormat/>
    <w:uiPriority w:val="0"/>
    <w:pPr>
      <w:widowControl w:val="0"/>
      <w:spacing w:after="260"/>
      <w:jc w:val="center"/>
      <w:outlineLvl w:val="3"/>
    </w:pPr>
    <w:rPr>
      <w:kern w:val="2"/>
      <w:sz w:val="26"/>
      <w:szCs w:val="26"/>
      <w:lang w:val="zh-TW" w:eastAsia="zh-TW" w:bidi="zh-TW"/>
    </w:rPr>
  </w:style>
  <w:style w:type="paragraph" w:customStyle="1" w:styleId="133">
    <w:name w:val="Char2"/>
    <w:basedOn w:val="1"/>
    <w:qFormat/>
    <w:uiPriority w:val="99"/>
    <w:pPr>
      <w:widowControl w:val="0"/>
      <w:jc w:val="both"/>
    </w:pPr>
    <w:rPr>
      <w:rFonts w:ascii="Times New Roman" w:hAnsi="Times New Roman" w:cs="Times New Roman"/>
      <w:kern w:val="2"/>
      <w:sz w:val="21"/>
      <w:szCs w:val="21"/>
    </w:rPr>
  </w:style>
  <w:style w:type="paragraph" w:customStyle="1" w:styleId="134">
    <w:name w:val="Other|1"/>
    <w:basedOn w:val="1"/>
    <w:qFormat/>
    <w:uiPriority w:val="0"/>
    <w:pPr>
      <w:widowControl w:val="0"/>
      <w:spacing w:line="334" w:lineRule="auto"/>
      <w:ind w:firstLine="250"/>
      <w:jc w:val="both"/>
    </w:pPr>
    <w:rPr>
      <w:kern w:val="2"/>
      <w:sz w:val="22"/>
      <w:szCs w:val="22"/>
      <w:lang w:val="zh-TW" w:eastAsia="zh-TW" w:bidi="zh-TW"/>
    </w:rPr>
  </w:style>
  <w:style w:type="paragraph" w:customStyle="1" w:styleId="135">
    <w:name w:val="Revision_d039009e-16b1-4ea1-879a-303f0725aed3"/>
    <w:qFormat/>
    <w:uiPriority w:val="99"/>
    <w:rPr>
      <w:rFonts w:ascii="Times New Roman" w:hAnsi="Times New Roman" w:eastAsia="宋体" w:cs="Times New Roman"/>
      <w:kern w:val="2"/>
      <w:sz w:val="21"/>
      <w:szCs w:val="21"/>
      <w:lang w:val="en-US" w:eastAsia="zh-CN" w:bidi="ar-SA"/>
    </w:rPr>
  </w:style>
  <w:style w:type="paragraph" w:customStyle="1" w:styleId="136">
    <w:name w:val="Char Char Char Char"/>
    <w:basedOn w:val="1"/>
    <w:qFormat/>
    <w:uiPriority w:val="99"/>
    <w:pPr>
      <w:widowControl w:val="0"/>
      <w:jc w:val="both"/>
    </w:pPr>
    <w:rPr>
      <w:rFonts w:ascii="Times New Roman" w:hAnsi="Times New Roman" w:cs="Times New Roman"/>
      <w:kern w:val="2"/>
      <w:sz w:val="21"/>
      <w:szCs w:val="21"/>
    </w:rPr>
  </w:style>
  <w:style w:type="paragraph" w:customStyle="1" w:styleId="137">
    <w:name w:val="修订1"/>
    <w:qFormat/>
    <w:uiPriority w:val="99"/>
    <w:rPr>
      <w:rFonts w:ascii="Times New Roman" w:hAnsi="Times New Roman" w:eastAsia="宋体" w:cs="Times New Roman"/>
      <w:kern w:val="2"/>
      <w:sz w:val="21"/>
      <w:szCs w:val="21"/>
      <w:lang w:val="en-US" w:eastAsia="zh-CN" w:bidi="ar-SA"/>
    </w:rPr>
  </w:style>
  <w:style w:type="paragraph" w:customStyle="1" w:styleId="138">
    <w:name w:val="样式 标题 3 + (中文) 黑体 小四 非加粗 段前: 7.8 磅 段后: 0 磅 行距: 固定值 20 磅"/>
    <w:basedOn w:val="5"/>
    <w:qFormat/>
    <w:uiPriority w:val="99"/>
    <w:pPr>
      <w:spacing w:before="0" w:after="0" w:line="400" w:lineRule="exact"/>
    </w:pPr>
    <w:rPr>
      <w:rFonts w:eastAsia="黑体"/>
      <w:b w:val="0"/>
      <w:bCs w:val="0"/>
      <w:szCs w:val="24"/>
    </w:rPr>
  </w:style>
  <w:style w:type="paragraph" w:customStyle="1" w:styleId="139">
    <w:name w:val="blockquote"/>
    <w:basedOn w:val="1"/>
    <w:qFormat/>
    <w:uiPriority w:val="99"/>
    <w:pPr>
      <w:spacing w:before="100" w:beforeAutospacing="1" w:after="100" w:afterAutospacing="1"/>
      <w:jc w:val="both"/>
    </w:pPr>
  </w:style>
  <w:style w:type="paragraph" w:customStyle="1" w:styleId="140">
    <w:name w:val="列出段落2"/>
    <w:basedOn w:val="1"/>
    <w:qFormat/>
    <w:uiPriority w:val="99"/>
    <w:pPr>
      <w:ind w:firstLine="420" w:firstLineChars="200"/>
    </w:pPr>
  </w:style>
  <w:style w:type="paragraph" w:customStyle="1" w:styleId="141">
    <w:name w:val="样式2"/>
    <w:basedOn w:val="1"/>
    <w:qFormat/>
    <w:uiPriority w:val="99"/>
    <w:pPr>
      <w:widowControl w:val="0"/>
      <w:ind w:firstLine="420" w:firstLineChars="150"/>
      <w:jc w:val="both"/>
    </w:pPr>
    <w:rPr>
      <w:rFonts w:ascii="Times New Roman" w:hAnsi="Times New Roman" w:cs="Times New Roman"/>
      <w:kern w:val="2"/>
      <w:lang w:val="en-GB"/>
    </w:rPr>
  </w:style>
  <w:style w:type="paragraph" w:customStyle="1" w:styleId="142">
    <w:name w:val="样式 首行缩进:  2 字符"/>
    <w:basedOn w:val="1"/>
    <w:qFormat/>
    <w:uiPriority w:val="99"/>
    <w:pPr>
      <w:widowControl w:val="0"/>
      <w:spacing w:line="400" w:lineRule="exact"/>
      <w:ind w:firstLine="200" w:firstLineChars="200"/>
      <w:jc w:val="both"/>
    </w:pPr>
    <w:rPr>
      <w:rFonts w:ascii="Times New Roman" w:hAnsi="Times New Roman" w:cs="Times New Roman"/>
      <w:kern w:val="2"/>
    </w:rPr>
  </w:style>
  <w:style w:type="paragraph" w:customStyle="1" w:styleId="143">
    <w:name w:val="Body text|1"/>
    <w:basedOn w:val="1"/>
    <w:qFormat/>
    <w:uiPriority w:val="0"/>
    <w:pPr>
      <w:widowControl w:val="0"/>
      <w:spacing w:line="406" w:lineRule="auto"/>
      <w:ind w:firstLine="240"/>
      <w:jc w:val="both"/>
    </w:pPr>
    <w:rPr>
      <w:kern w:val="2"/>
      <w:sz w:val="10"/>
      <w:szCs w:val="10"/>
      <w:lang w:val="zh-TW" w:eastAsia="zh-TW" w:bidi="zh-TW"/>
    </w:rPr>
  </w:style>
  <w:style w:type="paragraph" w:customStyle="1" w:styleId="144">
    <w:name w:val="样式3"/>
    <w:basedOn w:val="3"/>
    <w:qFormat/>
    <w:uiPriority w:val="99"/>
    <w:pPr>
      <w:spacing w:line="576" w:lineRule="auto"/>
    </w:pPr>
  </w:style>
  <w:style w:type="paragraph" w:customStyle="1" w:styleId="145">
    <w:name w:val="正文首行缩进两字符"/>
    <w:basedOn w:val="1"/>
    <w:qFormat/>
    <w:uiPriority w:val="99"/>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146">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147">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48">
    <w:name w:val="CD正文"/>
    <w:basedOn w:val="1"/>
    <w:qFormat/>
    <w:uiPriority w:val="99"/>
    <w:pPr>
      <w:widowControl w:val="0"/>
      <w:spacing w:line="360" w:lineRule="auto"/>
      <w:ind w:firstLine="493"/>
      <w:jc w:val="both"/>
    </w:pPr>
    <w:rPr>
      <w:rFonts w:ascii="Times New Roman" w:hAnsi="Times New Roman" w:cs="Times New Roman"/>
      <w:kern w:val="2"/>
      <w:sz w:val="30"/>
      <w:szCs w:val="30"/>
    </w:rPr>
  </w:style>
  <w:style w:type="paragraph" w:customStyle="1" w:styleId="149">
    <w:name w:val="Char Char1 Char"/>
    <w:basedOn w:val="1"/>
    <w:qFormat/>
    <w:uiPriority w:val="99"/>
    <w:pPr>
      <w:widowControl w:val="0"/>
      <w:jc w:val="both"/>
    </w:pPr>
    <w:rPr>
      <w:rFonts w:ascii="Times New Roman" w:hAnsi="Times New Roman" w:cs="Times New Roman"/>
      <w:kern w:val="2"/>
      <w:sz w:val="21"/>
      <w:szCs w:val="21"/>
    </w:rPr>
  </w:style>
  <w:style w:type="paragraph" w:customStyle="1" w:styleId="150">
    <w:name w:val="p0"/>
    <w:basedOn w:val="1"/>
    <w:qFormat/>
    <w:uiPriority w:val="0"/>
    <w:pPr>
      <w:jc w:val="both"/>
    </w:pPr>
    <w:rPr>
      <w:rFonts w:ascii="Times New Roman" w:hAnsi="Times New Roman" w:cs="Times New Roman"/>
      <w:sz w:val="21"/>
      <w:szCs w:val="21"/>
    </w:rPr>
  </w:style>
  <w:style w:type="paragraph" w:customStyle="1" w:styleId="15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Char Char Char Char Char Char Char Char Char Char Char Char Char Char1 Char Char Char Char"/>
    <w:basedOn w:val="1"/>
    <w:qFormat/>
    <w:uiPriority w:val="99"/>
    <w:pPr>
      <w:widowControl w:val="0"/>
      <w:jc w:val="both"/>
    </w:pPr>
    <w:rPr>
      <w:rFonts w:ascii="Times New Roman" w:hAnsi="Times New Roman" w:cs="Times New Roman"/>
      <w:kern w:val="2"/>
      <w:sz w:val="21"/>
      <w:szCs w:val="21"/>
    </w:rPr>
  </w:style>
  <w:style w:type="paragraph" w:customStyle="1" w:styleId="153">
    <w:name w:val="空半行"/>
    <w:basedOn w:val="1"/>
    <w:qFormat/>
    <w:uiPriority w:val="99"/>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paragraph" w:customStyle="1" w:styleId="154">
    <w:name w:val="Char Char Char Char Char Char Char"/>
    <w:basedOn w:val="1"/>
    <w:qFormat/>
    <w:uiPriority w:val="99"/>
    <w:pPr>
      <w:widowControl w:val="0"/>
      <w:jc w:val="both"/>
    </w:pPr>
    <w:rPr>
      <w:rFonts w:ascii="Times New Roman" w:hAnsi="Times New Roman" w:cs="Times New Roman"/>
      <w:kern w:val="2"/>
      <w:sz w:val="21"/>
      <w:szCs w:val="21"/>
    </w:rPr>
  </w:style>
  <w:style w:type="paragraph" w:customStyle="1" w:styleId="155">
    <w:name w:val="Plain Text1"/>
    <w:basedOn w:val="1"/>
    <w:qFormat/>
    <w:uiPriority w:val="99"/>
    <w:pPr>
      <w:widowControl w:val="0"/>
      <w:adjustRightInd w:val="0"/>
      <w:textAlignment w:val="baseline"/>
    </w:pPr>
    <w:rPr>
      <w:rFonts w:hAnsi="Courier New"/>
      <w:kern w:val="2"/>
    </w:rPr>
  </w:style>
  <w:style w:type="paragraph" w:customStyle="1" w:styleId="156">
    <w:name w:val="Revision1"/>
    <w:qFormat/>
    <w:uiPriority w:val="99"/>
    <w:rPr>
      <w:rFonts w:ascii="Times New Roman" w:hAnsi="Times New Roman" w:eastAsia="宋体" w:cs="Times New Roman"/>
      <w:kern w:val="2"/>
      <w:sz w:val="21"/>
      <w:szCs w:val="21"/>
      <w:lang w:val="en-US" w:eastAsia="zh-CN" w:bidi="ar-SA"/>
    </w:rPr>
  </w:style>
  <w:style w:type="paragraph" w:customStyle="1" w:styleId="157">
    <w:name w:val="TOC Heading1"/>
    <w:basedOn w:val="3"/>
    <w:next w:val="1"/>
    <w:qFormat/>
    <w:uiPriority w:val="99"/>
    <w:pPr>
      <w:spacing w:line="576" w:lineRule="auto"/>
      <w:outlineLvl w:val="9"/>
    </w:pPr>
    <w:rPr>
      <w:rFonts w:ascii="Calibri" w:hAnsi="Calibri" w:cs="Calibri"/>
    </w:rPr>
  </w:style>
  <w:style w:type="paragraph" w:customStyle="1" w:styleId="158">
    <w:name w:val="Char1"/>
    <w:basedOn w:val="1"/>
    <w:qFormat/>
    <w:uiPriority w:val="99"/>
    <w:pPr>
      <w:widowControl w:val="0"/>
      <w:jc w:val="both"/>
    </w:pPr>
    <w:rPr>
      <w:rFonts w:ascii="Times New Roman" w:hAnsi="Times New Roman" w:cs="Times New Roman"/>
      <w:kern w:val="2"/>
      <w:sz w:val="21"/>
      <w:szCs w:val="21"/>
    </w:rPr>
  </w:style>
  <w:style w:type="paragraph" w:customStyle="1" w:styleId="159">
    <w:name w:val="正文2"/>
    <w:basedOn w:val="1"/>
    <w:qFormat/>
    <w:uiPriority w:val="0"/>
    <w:pPr>
      <w:widowControl w:val="0"/>
      <w:adjustRightInd w:val="0"/>
      <w:spacing w:line="312" w:lineRule="atLeast"/>
      <w:jc w:val="both"/>
    </w:pPr>
    <w:rPr>
      <w:rFonts w:hint="eastAsia" w:hAnsi="Times New Roman" w:cs="Times New Roman"/>
      <w:sz w:val="34"/>
      <w:szCs w:val="20"/>
    </w:rPr>
  </w:style>
  <w:style w:type="paragraph" w:customStyle="1" w:styleId="160">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Cs w:val="28"/>
    </w:rPr>
  </w:style>
  <w:style w:type="paragraph" w:customStyle="1" w:styleId="161">
    <w:name w:val="through-content"/>
    <w:basedOn w:val="1"/>
    <w:qFormat/>
    <w:uiPriority w:val="0"/>
    <w:pPr>
      <w:spacing w:before="100" w:beforeAutospacing="1" w:after="100" w:afterAutospacing="1"/>
    </w:pPr>
  </w:style>
  <w:style w:type="paragraph" w:customStyle="1" w:styleId="162">
    <w:name w:val="第一章"/>
    <w:basedOn w:val="1"/>
    <w:next w:val="1"/>
    <w:qFormat/>
    <w:uiPriority w:val="99"/>
    <w:pPr>
      <w:widowControl w:val="0"/>
      <w:tabs>
        <w:tab w:val="left" w:pos="0"/>
      </w:tabs>
      <w:spacing w:line="360" w:lineRule="auto"/>
      <w:ind w:hanging="500" w:hangingChars="500"/>
      <w:jc w:val="both"/>
    </w:pPr>
    <w:rPr>
      <w:rFonts w:ascii="Times New Roman" w:hAnsi="Times New Roman" w:eastAsia="黑体" w:cs="Times New Roman"/>
      <w:kern w:val="2"/>
      <w:sz w:val="44"/>
      <w:szCs w:val="44"/>
    </w:rPr>
  </w:style>
  <w:style w:type="paragraph" w:customStyle="1" w:styleId="163">
    <w:name w:val="flNote"/>
    <w:basedOn w:val="1"/>
    <w:qFormat/>
    <w:uiPriority w:val="99"/>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164">
    <w:name w:val="样式1"/>
    <w:basedOn w:val="3"/>
    <w:qFormat/>
    <w:uiPriority w:val="99"/>
    <w:pPr>
      <w:spacing w:line="576" w:lineRule="auto"/>
    </w:pPr>
  </w:style>
  <w:style w:type="paragraph" w:customStyle="1" w:styleId="165">
    <w:name w:val="Char1 Char Char Char"/>
    <w:basedOn w:val="1"/>
    <w:qFormat/>
    <w:uiPriority w:val="99"/>
    <w:pPr>
      <w:widowControl w:val="0"/>
      <w:jc w:val="both"/>
    </w:pPr>
    <w:rPr>
      <w:rFonts w:ascii="Times New Roman" w:hAnsi="Times New Roman" w:cs="Times New Roman"/>
      <w:kern w:val="2"/>
      <w:sz w:val="21"/>
      <w:szCs w:val="21"/>
    </w:rPr>
  </w:style>
  <w:style w:type="paragraph" w:customStyle="1" w:styleId="166">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67">
    <w:name w:val="修订2"/>
    <w:qFormat/>
    <w:uiPriority w:val="99"/>
    <w:rPr>
      <w:rFonts w:ascii="Times New Roman" w:hAnsi="Times New Roman" w:eastAsia="宋体" w:cs="Times New Roman"/>
      <w:kern w:val="2"/>
      <w:sz w:val="21"/>
      <w:szCs w:val="21"/>
      <w:lang w:val="en-US" w:eastAsia="zh-CN" w:bidi="ar-SA"/>
    </w:rPr>
  </w:style>
  <w:style w:type="paragraph" w:customStyle="1" w:styleId="168">
    <w:name w:val="Char Char Char Char Char Char Char Char Char Char Char Char Char"/>
    <w:basedOn w:val="1"/>
    <w:qFormat/>
    <w:uiPriority w:val="99"/>
    <w:pPr>
      <w:spacing w:after="160" w:line="240" w:lineRule="exact"/>
    </w:pPr>
    <w:rPr>
      <w:rFonts w:ascii="Times New Roman" w:hAnsi="Times New Roman" w:cs="Times New Roman"/>
      <w:kern w:val="2"/>
      <w:sz w:val="21"/>
      <w:szCs w:val="21"/>
    </w:rPr>
  </w:style>
  <w:style w:type="paragraph" w:customStyle="1" w:styleId="169">
    <w:name w:val="表格"/>
    <w:basedOn w:val="1"/>
    <w:qFormat/>
    <w:uiPriority w:val="99"/>
    <w:pPr>
      <w:widowControl w:val="0"/>
      <w:spacing w:line="400" w:lineRule="exact"/>
      <w:jc w:val="both"/>
    </w:pPr>
    <w:rPr>
      <w:rFonts w:ascii="Times New Roman" w:hAnsi="Times New Roman" w:cs="Times New Roman"/>
      <w:kern w:val="2"/>
    </w:rPr>
  </w:style>
  <w:style w:type="paragraph" w:customStyle="1" w:styleId="170">
    <w:name w:val="msolistparagraph"/>
    <w:basedOn w:val="1"/>
    <w:qFormat/>
    <w:uiPriority w:val="0"/>
    <w:pPr>
      <w:widowControl w:val="0"/>
      <w:autoSpaceDE w:val="0"/>
      <w:autoSpaceDN w:val="0"/>
      <w:ind w:left="440" w:firstLine="480"/>
    </w:pPr>
    <w:rPr>
      <w:rFonts w:hint="eastAsia" w:ascii="仿宋" w:hAnsi="仿宋" w:eastAsia="仿宋" w:cs="Times New Roman"/>
      <w:sz w:val="22"/>
      <w:szCs w:val="22"/>
    </w:rPr>
  </w:style>
  <w:style w:type="paragraph" w:customStyle="1" w:styleId="171">
    <w:name w:val="Blockquote"/>
    <w:basedOn w:val="1"/>
    <w:qFormat/>
    <w:uiPriority w:val="99"/>
    <w:pPr>
      <w:widowControl w:val="0"/>
      <w:autoSpaceDE w:val="0"/>
      <w:autoSpaceDN w:val="0"/>
      <w:adjustRightInd w:val="0"/>
      <w:spacing w:before="100" w:after="100"/>
      <w:ind w:left="360"/>
      <w:jc w:val="both"/>
    </w:pPr>
    <w:rPr>
      <w:rFonts w:ascii="Times New Roman" w:hAnsi="Times New Roman" w:cs="Times New Roman"/>
    </w:rPr>
  </w:style>
  <w:style w:type="paragraph" w:customStyle="1" w:styleId="172">
    <w:name w:val="Normal1"/>
    <w:basedOn w:val="1"/>
    <w:qFormat/>
    <w:uiPriority w:val="0"/>
    <w:pPr>
      <w:widowControl w:val="0"/>
      <w:adjustRightInd w:val="0"/>
      <w:spacing w:line="312" w:lineRule="atLeast"/>
      <w:jc w:val="both"/>
    </w:pPr>
    <w:rPr>
      <w:rFonts w:hint="eastAsia" w:hAnsi="Times New Roman" w:cs="Times New Roman"/>
      <w:sz w:val="34"/>
      <w:szCs w:val="20"/>
    </w:rPr>
  </w:style>
  <w:style w:type="paragraph" w:customStyle="1" w:styleId="173">
    <w:name w:val="附件标题-1"/>
    <w:basedOn w:val="1"/>
    <w:next w:val="1"/>
    <w:qFormat/>
    <w:uiPriority w:val="0"/>
    <w:pPr>
      <w:widowControl w:val="0"/>
      <w:spacing w:beforeLines="50"/>
      <w:jc w:val="center"/>
    </w:pPr>
    <w:rPr>
      <w:rFonts w:ascii="Times New Roman" w:hAnsi="Times New Roman" w:eastAsia="黑体" w:cs="Times New Roman"/>
      <w:kern w:val="2"/>
      <w:sz w:val="32"/>
    </w:rPr>
  </w:style>
  <w:style w:type="character" w:customStyle="1" w:styleId="174">
    <w:name w:val="Intense Quote Char"/>
    <w:qFormat/>
    <w:locked/>
    <w:uiPriority w:val="99"/>
    <w:rPr>
      <w:b/>
      <w:bCs/>
      <w:i/>
      <w:iCs/>
      <w:color w:val="4F81BD"/>
      <w:kern w:val="2"/>
      <w:sz w:val="22"/>
      <w:szCs w:val="22"/>
    </w:rPr>
  </w:style>
  <w:style w:type="paragraph" w:customStyle="1" w:styleId="175">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176">
    <w:name w:val="修订3"/>
    <w:hidden/>
    <w:semiHidden/>
    <w:qFormat/>
    <w:uiPriority w:val="99"/>
    <w:rPr>
      <w:rFonts w:ascii="宋体" w:hAnsi="宋体" w:eastAsia="宋体" w:cs="宋体"/>
      <w:sz w:val="24"/>
      <w:szCs w:val="24"/>
      <w:lang w:val="en-US" w:eastAsia="zh-CN" w:bidi="ar-SA"/>
    </w:rPr>
  </w:style>
  <w:style w:type="paragraph" w:customStyle="1" w:styleId="177">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78">
    <w:name w:val="正文文本首行缩进 字符"/>
    <w:basedOn w:val="63"/>
    <w:link w:val="42"/>
    <w:qFormat/>
    <w:uiPriority w:val="0"/>
    <w:rPr>
      <w:rFonts w:ascii="Noto Sans CJK JP Black" w:hAnsi="Noto Sans CJK JP Black" w:eastAsia="Noto Sans CJK JP Black" w:cs="Noto Sans CJK JP Black"/>
      <w:sz w:val="22"/>
      <w:szCs w:val="22"/>
    </w:rPr>
  </w:style>
  <w:style w:type="paragraph" w:customStyle="1" w:styleId="179">
    <w:name w:val="Table Paragraph"/>
    <w:basedOn w:val="1"/>
    <w:qFormat/>
    <w:uiPriority w:val="1"/>
    <w:pPr>
      <w:widowControl w:val="0"/>
      <w:autoSpaceDE w:val="0"/>
      <w:autoSpaceDN w:val="0"/>
    </w:pPr>
    <w:rPr>
      <w:rFonts w:ascii="Noto Sans CJK JP Black" w:hAnsi="Noto Sans CJK JP Black" w:eastAsia="Noto Sans CJK JP Black" w:cs="Noto Sans CJK JP Black"/>
      <w:sz w:val="22"/>
      <w:szCs w:val="22"/>
    </w:rPr>
  </w:style>
  <w:style w:type="paragraph" w:styleId="1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5738</Words>
  <Characters>32713</Characters>
  <Lines>272</Lines>
  <Paragraphs>76</Paragraphs>
  <TotalTime>5</TotalTime>
  <ScaleCrop>false</ScaleCrop>
  <LinksUpToDate>false</LinksUpToDate>
  <CharactersWithSpaces>38375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2022-03-04T03:24:00Z</dcterms:created>
  <dc:creator>lcl</dc:creator>
  <cp:lastModifiedBy>Jane</cp:lastModifiedBy>
  <cp:lastPrinted>2022-02-10T06:38:00Z</cp:lastPrinted>
  <dcterms:modified xsi:type="dcterms:W3CDTF">2022-05-17T06:22:39Z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7DC758BC5F174CE98CFA905230026596</vt:lpwstr>
  </property>
  <property fmtid="{D5CDD505-2E9C-101B-9397-08002B2CF9AE}" pid="4" name="commondata">
    <vt:lpwstr>eyJoZGlkIjoiYWJmNTAxYTA0NTllZTU0OWY5NWY0MWNlMzBjNGU2OTYifQ==</vt:lpwstr>
  </property>
</Properties>
</file>